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B7" w:rsidRPr="002C30D6" w:rsidRDefault="00F83AB7" w:rsidP="00F83AB7">
      <w:pPr>
        <w:pStyle w:val="Title"/>
        <w:jc w:val="center"/>
        <w:rPr>
          <w:rFonts w:asciiTheme="minorHAnsi" w:hAnsiTheme="minorHAnsi"/>
          <w:b/>
          <w:color w:val="002060"/>
          <w:sz w:val="24"/>
          <w:szCs w:val="24"/>
          <w:lang w:val="en-GB"/>
        </w:rPr>
      </w:pPr>
    </w:p>
    <w:p w:rsidR="00782702" w:rsidRPr="002C30D6" w:rsidRDefault="00782702" w:rsidP="00782702">
      <w:pPr>
        <w:rPr>
          <w:sz w:val="24"/>
          <w:szCs w:val="24"/>
          <w:lang w:val="en-GB"/>
        </w:rPr>
      </w:pPr>
    </w:p>
    <w:p w:rsidR="00782702" w:rsidRPr="002C30D6" w:rsidRDefault="00782702" w:rsidP="00782702">
      <w:pPr>
        <w:rPr>
          <w:sz w:val="24"/>
          <w:szCs w:val="24"/>
          <w:lang w:val="en-GB"/>
        </w:rPr>
      </w:pPr>
    </w:p>
    <w:p w:rsidR="00782702" w:rsidRPr="002C30D6" w:rsidRDefault="00386717" w:rsidP="00782702">
      <w:pPr>
        <w:pStyle w:val="Title"/>
        <w:spacing w:before="0" w:after="0"/>
        <w:jc w:val="center"/>
        <w:rPr>
          <w:rFonts w:asciiTheme="minorHAnsi" w:hAnsiTheme="minorHAnsi"/>
          <w:color w:val="002060"/>
          <w:lang w:val="en-GB"/>
        </w:rPr>
      </w:pPr>
      <w:r w:rsidRPr="002C30D6">
        <w:rPr>
          <w:rFonts w:asciiTheme="minorHAnsi" w:hAnsiTheme="minorHAnsi"/>
          <w:color w:val="002060"/>
          <w:lang w:val="en-GB"/>
        </w:rPr>
        <w:t xml:space="preserve">A  </w:t>
      </w:r>
      <w:r w:rsidR="00BC5519" w:rsidRPr="002C30D6">
        <w:rPr>
          <w:rFonts w:asciiTheme="minorHAnsi" w:hAnsiTheme="minorHAnsi"/>
          <w:color w:val="002060"/>
          <w:lang w:val="en-GB"/>
        </w:rPr>
        <w:t xml:space="preserve">RecomMendation </w:t>
      </w:r>
      <w:r w:rsidRPr="002C30D6">
        <w:rPr>
          <w:rFonts w:asciiTheme="minorHAnsi" w:hAnsiTheme="minorHAnsi"/>
          <w:color w:val="002060"/>
          <w:lang w:val="en-GB"/>
        </w:rPr>
        <w:t xml:space="preserve">letter </w:t>
      </w:r>
    </w:p>
    <w:p w:rsidR="00ED4EB5" w:rsidRDefault="00671FA4" w:rsidP="00782702">
      <w:pPr>
        <w:pStyle w:val="Title"/>
        <w:spacing w:before="0" w:after="0"/>
        <w:jc w:val="center"/>
        <w:rPr>
          <w:rFonts w:asciiTheme="minorHAnsi" w:hAnsiTheme="minorHAnsi"/>
          <w:color w:val="002060"/>
          <w:lang w:val="en-GB"/>
        </w:rPr>
      </w:pPr>
      <w:r w:rsidRPr="002C30D6">
        <w:rPr>
          <w:rFonts w:asciiTheme="minorHAnsi" w:hAnsiTheme="minorHAnsi"/>
          <w:color w:val="002060"/>
          <w:lang w:val="en-GB"/>
        </w:rPr>
        <w:t xml:space="preserve">for </w:t>
      </w:r>
      <w:r w:rsidR="00A673E9">
        <w:rPr>
          <w:rFonts w:asciiTheme="minorHAnsi" w:hAnsiTheme="minorHAnsi"/>
          <w:color w:val="002060"/>
          <w:lang w:val="en-GB"/>
        </w:rPr>
        <w:t xml:space="preserve">LOCAL COMMUNITY AUTHORITIES </w:t>
      </w:r>
    </w:p>
    <w:p w:rsidR="007001BD" w:rsidRPr="002C30D6" w:rsidRDefault="00F83AB7" w:rsidP="00782702">
      <w:pPr>
        <w:pStyle w:val="Title"/>
        <w:spacing w:before="0" w:after="0"/>
        <w:jc w:val="center"/>
        <w:rPr>
          <w:rFonts w:asciiTheme="minorHAnsi" w:hAnsiTheme="minorHAnsi"/>
          <w:color w:val="002060"/>
          <w:lang w:val="en-GB"/>
        </w:rPr>
      </w:pPr>
      <w:bookmarkStart w:id="0" w:name="_GoBack"/>
      <w:bookmarkEnd w:id="0"/>
      <w:r w:rsidRPr="002C30D6">
        <w:rPr>
          <w:rFonts w:asciiTheme="minorHAnsi" w:hAnsiTheme="minorHAnsi"/>
          <w:color w:val="002060"/>
          <w:lang w:val="en-GB"/>
        </w:rPr>
        <w:t>IN SLOVENIA</w:t>
      </w: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B327DD" w:rsidRPr="002C30D6" w:rsidRDefault="00B327DD" w:rsidP="00F83AB7">
      <w:pPr>
        <w:rPr>
          <w:sz w:val="24"/>
          <w:szCs w:val="24"/>
          <w:lang w:val="en-GB"/>
        </w:rPr>
      </w:pPr>
    </w:p>
    <w:p w:rsidR="00B327DD" w:rsidRPr="002C30D6" w:rsidRDefault="00B327DD" w:rsidP="00F83AB7">
      <w:pPr>
        <w:rPr>
          <w:sz w:val="24"/>
          <w:szCs w:val="24"/>
          <w:lang w:val="en-GB"/>
        </w:rPr>
      </w:pPr>
    </w:p>
    <w:p w:rsidR="00B327DD" w:rsidRPr="002C30D6" w:rsidRDefault="00B327DD" w:rsidP="00F83AB7">
      <w:pPr>
        <w:rPr>
          <w:sz w:val="24"/>
          <w:szCs w:val="24"/>
          <w:lang w:val="en-GB"/>
        </w:rPr>
      </w:pPr>
    </w:p>
    <w:p w:rsidR="00782702" w:rsidRPr="002C30D6" w:rsidRDefault="00782702"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tbl>
      <w:tblPr>
        <w:tblStyle w:val="Tabelaraportuostanie"/>
        <w:tblW w:w="5000" w:type="pct"/>
        <w:tblLook w:val="04A0" w:firstRow="1" w:lastRow="0" w:firstColumn="1" w:lastColumn="0" w:noHBand="0" w:noVBand="1"/>
      </w:tblPr>
      <w:tblGrid>
        <w:gridCol w:w="2663"/>
        <w:gridCol w:w="3456"/>
        <w:gridCol w:w="3453"/>
      </w:tblGrid>
      <w:tr w:rsidR="00BC5519" w:rsidRPr="002C30D6" w:rsidTr="00F83AB7">
        <w:trPr>
          <w:cnfStyle w:val="100000000000" w:firstRow="1" w:lastRow="0" w:firstColumn="0" w:lastColumn="0" w:oddVBand="0" w:evenVBand="0" w:oddHBand="0" w:evenHBand="0" w:firstRowFirstColumn="0" w:firstRowLastColumn="0" w:lastRowFirstColumn="0" w:lastRowLastColumn="0"/>
        </w:trPr>
        <w:tc>
          <w:tcPr>
            <w:tcW w:w="2584" w:type="dxa"/>
          </w:tcPr>
          <w:p w:rsidR="00AD6C58" w:rsidRPr="002C30D6" w:rsidRDefault="00AD6C58">
            <w:pPr>
              <w:rPr>
                <w:rFonts w:asciiTheme="minorHAnsi" w:hAnsiTheme="minorHAnsi"/>
                <w:caps w:val="0"/>
                <w:sz w:val="24"/>
                <w:szCs w:val="24"/>
                <w:lang w:val="en-GB"/>
              </w:rPr>
            </w:pPr>
          </w:p>
          <w:p w:rsidR="007001BD" w:rsidRPr="002C30D6" w:rsidRDefault="00DC1270" w:rsidP="00F83AB7">
            <w:pPr>
              <w:rPr>
                <w:rFonts w:asciiTheme="minorHAnsi" w:hAnsiTheme="minorHAnsi"/>
                <w:sz w:val="24"/>
                <w:szCs w:val="24"/>
                <w:lang w:val="en-GB"/>
              </w:rPr>
            </w:pPr>
            <w:r w:rsidRPr="002C30D6">
              <w:rPr>
                <w:rFonts w:asciiTheme="minorHAnsi" w:hAnsiTheme="minorHAnsi"/>
                <w:sz w:val="24"/>
                <w:szCs w:val="24"/>
                <w:lang w:val="en-GB"/>
              </w:rPr>
              <w:t>D</w:t>
            </w:r>
            <w:r w:rsidR="00BC5519" w:rsidRPr="002C30D6">
              <w:rPr>
                <w:rFonts w:asciiTheme="minorHAnsi" w:hAnsiTheme="minorHAnsi"/>
                <w:sz w:val="24"/>
                <w:szCs w:val="24"/>
                <w:lang w:val="en-GB"/>
              </w:rPr>
              <w:t xml:space="preserve">ate </w:t>
            </w:r>
          </w:p>
        </w:tc>
        <w:tc>
          <w:tcPr>
            <w:tcW w:w="3354" w:type="dxa"/>
          </w:tcPr>
          <w:p w:rsidR="007001BD" w:rsidRPr="002C30D6" w:rsidRDefault="00BC5519">
            <w:pPr>
              <w:rPr>
                <w:rFonts w:asciiTheme="minorHAnsi" w:hAnsiTheme="minorHAnsi"/>
                <w:sz w:val="24"/>
                <w:szCs w:val="24"/>
                <w:lang w:val="en-GB"/>
              </w:rPr>
            </w:pPr>
            <w:r w:rsidRPr="002C30D6">
              <w:rPr>
                <w:rFonts w:asciiTheme="minorHAnsi" w:hAnsiTheme="minorHAnsi"/>
                <w:sz w:val="24"/>
                <w:szCs w:val="24"/>
                <w:lang w:val="en-GB"/>
              </w:rPr>
              <w:t xml:space="preserve">Name of the project </w:t>
            </w:r>
          </w:p>
        </w:tc>
        <w:tc>
          <w:tcPr>
            <w:tcW w:w="3351" w:type="dxa"/>
          </w:tcPr>
          <w:p w:rsidR="007001BD" w:rsidRPr="002C30D6" w:rsidRDefault="00BC5519">
            <w:pPr>
              <w:rPr>
                <w:rFonts w:asciiTheme="minorHAnsi" w:hAnsiTheme="minorHAnsi"/>
                <w:sz w:val="24"/>
                <w:szCs w:val="24"/>
                <w:lang w:val="en-GB"/>
              </w:rPr>
            </w:pPr>
            <w:r w:rsidRPr="002C30D6">
              <w:rPr>
                <w:rFonts w:asciiTheme="minorHAnsi" w:hAnsiTheme="minorHAnsi"/>
                <w:sz w:val="24"/>
                <w:szCs w:val="24"/>
                <w:lang w:val="en-GB"/>
              </w:rPr>
              <w:t xml:space="preserve">prepared by </w:t>
            </w:r>
          </w:p>
        </w:tc>
      </w:tr>
      <w:tr w:rsidR="00BC5519" w:rsidRPr="002C30D6" w:rsidTr="00F83AB7">
        <w:tc>
          <w:tcPr>
            <w:tcW w:w="2584" w:type="dxa"/>
          </w:tcPr>
          <w:p w:rsidR="007001BD" w:rsidRPr="002C30D6" w:rsidRDefault="00782702" w:rsidP="00782702">
            <w:pPr>
              <w:rPr>
                <w:color w:val="auto"/>
                <w:sz w:val="24"/>
                <w:szCs w:val="24"/>
                <w:lang w:val="en-GB"/>
              </w:rPr>
            </w:pPr>
            <w:r w:rsidRPr="002C30D6">
              <w:rPr>
                <w:color w:val="auto"/>
                <w:sz w:val="24"/>
                <w:szCs w:val="24"/>
                <w:lang w:val="en-GB"/>
              </w:rPr>
              <w:t>15 March 2018</w:t>
            </w:r>
          </w:p>
          <w:p w:rsidR="00CF1DD9" w:rsidRPr="002C30D6" w:rsidRDefault="00CF1DD9" w:rsidP="00782702">
            <w:pPr>
              <w:rPr>
                <w:color w:val="auto"/>
                <w:sz w:val="24"/>
                <w:szCs w:val="24"/>
                <w:lang w:val="en-GB"/>
              </w:rPr>
            </w:pPr>
          </w:p>
          <w:p w:rsidR="00CF1DD9" w:rsidRPr="002C30D6" w:rsidRDefault="00CF1DD9" w:rsidP="00782702">
            <w:pPr>
              <w:rPr>
                <w:color w:val="auto"/>
                <w:sz w:val="24"/>
                <w:szCs w:val="24"/>
                <w:lang w:val="en-GB"/>
              </w:rPr>
            </w:pPr>
            <w:r w:rsidRPr="002C30D6">
              <w:rPr>
                <w:color w:val="auto"/>
                <w:sz w:val="24"/>
                <w:szCs w:val="24"/>
                <w:lang w:val="en-GB"/>
              </w:rPr>
              <w:t>Slovenia, Ljubljana</w:t>
            </w:r>
          </w:p>
        </w:tc>
        <w:tc>
          <w:tcPr>
            <w:tcW w:w="3354" w:type="dxa"/>
          </w:tcPr>
          <w:p w:rsidR="00930AD7" w:rsidRPr="002C30D6" w:rsidRDefault="00BC5519" w:rsidP="00930AD7">
            <w:pPr>
              <w:rPr>
                <w:i/>
                <w:color w:val="auto"/>
                <w:sz w:val="24"/>
                <w:szCs w:val="24"/>
                <w:lang w:val="en-GB"/>
              </w:rPr>
            </w:pPr>
            <w:r w:rsidRPr="002C30D6">
              <w:rPr>
                <w:i/>
                <w:color w:val="auto"/>
                <w:sz w:val="24"/>
                <w:szCs w:val="24"/>
                <w:lang w:val="en-GB"/>
              </w:rPr>
              <w:t xml:space="preserve">Old Guys Say Yes To Community </w:t>
            </w:r>
          </w:p>
          <w:p w:rsidR="00F83AB7" w:rsidRPr="002C30D6" w:rsidRDefault="00F83AB7" w:rsidP="00930AD7">
            <w:pPr>
              <w:rPr>
                <w:color w:val="auto"/>
                <w:sz w:val="24"/>
                <w:szCs w:val="24"/>
                <w:lang w:val="en-GB"/>
              </w:rPr>
            </w:pPr>
            <w:r w:rsidRPr="002C30D6">
              <w:rPr>
                <w:color w:val="auto"/>
                <w:sz w:val="24"/>
                <w:szCs w:val="24"/>
                <w:lang w:val="en-GB"/>
              </w:rPr>
              <w:t>16-204-021604</w:t>
            </w:r>
          </w:p>
          <w:p w:rsidR="007001BD" w:rsidRPr="002C30D6" w:rsidRDefault="00F83AB7" w:rsidP="00930AD7">
            <w:pPr>
              <w:rPr>
                <w:color w:val="auto"/>
                <w:sz w:val="24"/>
                <w:szCs w:val="24"/>
                <w:lang w:val="en-GB"/>
              </w:rPr>
            </w:pPr>
            <w:r w:rsidRPr="002C30D6">
              <w:rPr>
                <w:color w:val="auto"/>
                <w:sz w:val="24"/>
                <w:szCs w:val="24"/>
                <w:lang w:val="en-GB"/>
              </w:rPr>
              <w:t>KA2-AR-9/16</w:t>
            </w:r>
          </w:p>
        </w:tc>
        <w:tc>
          <w:tcPr>
            <w:tcW w:w="3351" w:type="dxa"/>
          </w:tcPr>
          <w:p w:rsidR="00AD6C58" w:rsidRPr="00A60CE4" w:rsidRDefault="00573B6B" w:rsidP="007B076B">
            <w:pPr>
              <w:spacing w:before="0" w:after="0"/>
              <w:rPr>
                <w:color w:val="auto"/>
                <w:sz w:val="24"/>
                <w:szCs w:val="24"/>
                <w:lang w:val="it-IT"/>
              </w:rPr>
            </w:pPr>
            <w:r w:rsidRPr="00A60CE4">
              <w:rPr>
                <w:color w:val="auto"/>
                <w:sz w:val="24"/>
                <w:szCs w:val="24"/>
                <w:lang w:val="it-IT"/>
              </w:rPr>
              <w:t>d</w:t>
            </w:r>
            <w:r w:rsidR="00AA58D3" w:rsidRPr="00A60CE4">
              <w:rPr>
                <w:color w:val="auto"/>
                <w:sz w:val="24"/>
                <w:szCs w:val="24"/>
                <w:lang w:val="it-IT"/>
              </w:rPr>
              <w:t xml:space="preserve">r. </w:t>
            </w:r>
            <w:r w:rsidR="00E00F57" w:rsidRPr="00A60CE4">
              <w:rPr>
                <w:color w:val="auto"/>
                <w:sz w:val="24"/>
                <w:szCs w:val="24"/>
                <w:lang w:val="it-IT"/>
              </w:rPr>
              <w:t>Marta Gregorčič</w:t>
            </w:r>
          </w:p>
          <w:p w:rsidR="00052423" w:rsidRPr="00A60CE4" w:rsidRDefault="00052423" w:rsidP="00052423">
            <w:pPr>
              <w:spacing w:before="0" w:after="0"/>
              <w:rPr>
                <w:color w:val="auto"/>
                <w:sz w:val="24"/>
                <w:szCs w:val="24"/>
                <w:lang w:val="it-IT"/>
              </w:rPr>
            </w:pPr>
            <w:r w:rsidRPr="00A60CE4">
              <w:rPr>
                <w:color w:val="auto"/>
                <w:sz w:val="24"/>
                <w:szCs w:val="24"/>
                <w:lang w:val="it-IT"/>
              </w:rPr>
              <w:t>dr. Sabina Jelenc Krašovec</w:t>
            </w:r>
          </w:p>
          <w:p w:rsidR="00AD6C58" w:rsidRPr="00A60CE4" w:rsidRDefault="00E00F57" w:rsidP="007B076B">
            <w:pPr>
              <w:spacing w:before="0" w:after="0"/>
              <w:rPr>
                <w:color w:val="auto"/>
                <w:sz w:val="24"/>
                <w:szCs w:val="24"/>
                <w:lang w:val="it-IT"/>
              </w:rPr>
            </w:pPr>
            <w:r w:rsidRPr="00A60CE4">
              <w:rPr>
                <w:color w:val="auto"/>
                <w:sz w:val="24"/>
                <w:szCs w:val="24"/>
                <w:lang w:val="it-IT"/>
              </w:rPr>
              <w:t>Špela Močilnikar</w:t>
            </w:r>
            <w:r w:rsidRPr="00A60CE4">
              <w:rPr>
                <w:color w:val="auto"/>
                <w:sz w:val="24"/>
                <w:szCs w:val="24"/>
                <w:lang w:val="it-IT"/>
              </w:rPr>
              <w:br/>
            </w:r>
            <w:r w:rsidR="00AA58D3" w:rsidRPr="00A60CE4">
              <w:rPr>
                <w:color w:val="auto"/>
                <w:sz w:val="24"/>
                <w:szCs w:val="24"/>
                <w:lang w:val="it-IT"/>
              </w:rPr>
              <w:t xml:space="preserve">dr. </w:t>
            </w:r>
            <w:r w:rsidRPr="00A60CE4">
              <w:rPr>
                <w:color w:val="auto"/>
                <w:sz w:val="24"/>
                <w:szCs w:val="24"/>
                <w:lang w:val="it-IT"/>
              </w:rPr>
              <w:t>Marko Radovan</w:t>
            </w:r>
          </w:p>
        </w:tc>
      </w:tr>
    </w:tbl>
    <w:p w:rsidR="00782702" w:rsidRPr="00A60CE4" w:rsidRDefault="00782702" w:rsidP="00782702">
      <w:pPr>
        <w:rPr>
          <w:sz w:val="24"/>
          <w:szCs w:val="24"/>
          <w:lang w:val="it-IT"/>
        </w:rPr>
      </w:pPr>
    </w:p>
    <w:p w:rsidR="00782702" w:rsidRPr="00A60CE4" w:rsidRDefault="00782702" w:rsidP="00782702">
      <w:pPr>
        <w:rPr>
          <w:sz w:val="24"/>
          <w:szCs w:val="24"/>
          <w:lang w:val="it-IT"/>
        </w:rPr>
      </w:pPr>
    </w:p>
    <w:tbl>
      <w:tblPr>
        <w:tblStyle w:val="Tabelaraportuostanie"/>
        <w:tblW w:w="5000" w:type="pct"/>
        <w:tblLook w:val="04A0" w:firstRow="1" w:lastRow="0" w:firstColumn="1" w:lastColumn="0" w:noHBand="0" w:noVBand="1"/>
      </w:tblPr>
      <w:tblGrid>
        <w:gridCol w:w="2663"/>
        <w:gridCol w:w="3456"/>
        <w:gridCol w:w="3453"/>
      </w:tblGrid>
      <w:tr w:rsidR="00782702" w:rsidRPr="002C30D6" w:rsidTr="004F5E12">
        <w:trPr>
          <w:cnfStyle w:val="100000000000" w:firstRow="1" w:lastRow="0" w:firstColumn="0" w:lastColumn="0" w:oddVBand="0" w:evenVBand="0" w:oddHBand="0" w:evenHBand="0" w:firstRowFirstColumn="0" w:firstRowLastColumn="0" w:lastRowFirstColumn="0" w:lastRowLastColumn="0"/>
        </w:trPr>
        <w:tc>
          <w:tcPr>
            <w:tcW w:w="9289" w:type="dxa"/>
            <w:gridSpan w:val="3"/>
          </w:tcPr>
          <w:p w:rsidR="00782702" w:rsidRPr="002C30D6" w:rsidRDefault="00782702" w:rsidP="00782702">
            <w:pPr>
              <w:rPr>
                <w:rFonts w:asciiTheme="minorHAnsi" w:hAnsiTheme="minorHAnsi"/>
                <w:sz w:val="24"/>
                <w:szCs w:val="24"/>
                <w:lang w:val="en-GB"/>
              </w:rPr>
            </w:pPr>
            <w:r w:rsidRPr="002C30D6">
              <w:rPr>
                <w:rFonts w:asciiTheme="minorHAnsi" w:hAnsiTheme="minorHAnsi"/>
                <w:sz w:val="24"/>
                <w:szCs w:val="24"/>
                <w:lang w:val="en-GB"/>
              </w:rPr>
              <w:t xml:space="preserve">desseminated  </w:t>
            </w:r>
          </w:p>
        </w:tc>
      </w:tr>
      <w:tr w:rsidR="00782702" w:rsidRPr="002C30D6" w:rsidTr="0082538C">
        <w:tc>
          <w:tcPr>
            <w:tcW w:w="2584" w:type="dxa"/>
          </w:tcPr>
          <w:p w:rsidR="00782702" w:rsidRPr="002C30D6" w:rsidRDefault="00BE38C3" w:rsidP="00782702">
            <w:pPr>
              <w:rPr>
                <w:color w:val="auto"/>
                <w:sz w:val="24"/>
                <w:szCs w:val="24"/>
                <w:lang w:val="en-GB"/>
              </w:rPr>
            </w:pPr>
            <w:r>
              <w:rPr>
                <w:color w:val="auto"/>
                <w:sz w:val="24"/>
                <w:szCs w:val="24"/>
                <w:lang w:val="en-GB"/>
              </w:rPr>
              <w:t>July</w:t>
            </w:r>
            <w:r w:rsidR="00782702" w:rsidRPr="002C30D6">
              <w:rPr>
                <w:color w:val="auto"/>
                <w:sz w:val="24"/>
                <w:szCs w:val="24"/>
                <w:lang w:val="en-GB"/>
              </w:rPr>
              <w:t xml:space="preserve"> 2018</w:t>
            </w:r>
          </w:p>
        </w:tc>
        <w:tc>
          <w:tcPr>
            <w:tcW w:w="3354" w:type="dxa"/>
          </w:tcPr>
          <w:p w:rsidR="00782702" w:rsidRPr="002C30D6" w:rsidRDefault="00782702" w:rsidP="0082538C">
            <w:pPr>
              <w:rPr>
                <w:color w:val="auto"/>
                <w:sz w:val="24"/>
                <w:szCs w:val="24"/>
                <w:lang w:val="en-GB"/>
              </w:rPr>
            </w:pPr>
          </w:p>
        </w:tc>
        <w:tc>
          <w:tcPr>
            <w:tcW w:w="3351" w:type="dxa"/>
          </w:tcPr>
          <w:p w:rsidR="00782702" w:rsidRPr="002C30D6" w:rsidRDefault="00782702" w:rsidP="0082538C">
            <w:pPr>
              <w:spacing w:before="0" w:after="0"/>
              <w:rPr>
                <w:color w:val="auto"/>
                <w:sz w:val="24"/>
                <w:szCs w:val="24"/>
                <w:lang w:val="en-GB"/>
              </w:rPr>
            </w:pPr>
          </w:p>
        </w:tc>
      </w:tr>
    </w:tbl>
    <w:p w:rsidR="007001BD" w:rsidRPr="002C30D6" w:rsidRDefault="00CF1DD9" w:rsidP="009840DD">
      <w:pPr>
        <w:pStyle w:val="nagwek1"/>
        <w:spacing w:after="120"/>
        <w:rPr>
          <w:rFonts w:asciiTheme="minorHAnsi" w:hAnsiTheme="minorHAnsi"/>
          <w:b/>
          <w:sz w:val="24"/>
          <w:szCs w:val="24"/>
          <w:lang w:val="en-GB"/>
        </w:rPr>
      </w:pPr>
      <w:r w:rsidRPr="002C30D6">
        <w:rPr>
          <w:rFonts w:asciiTheme="minorHAnsi" w:hAnsiTheme="minorHAnsi"/>
          <w:b/>
          <w:sz w:val="24"/>
          <w:szCs w:val="24"/>
          <w:lang w:val="en-GB"/>
        </w:rPr>
        <w:lastRenderedPageBreak/>
        <w:t>1</w:t>
      </w:r>
      <w:r w:rsidR="00723974" w:rsidRPr="002C30D6">
        <w:rPr>
          <w:rFonts w:asciiTheme="minorHAnsi" w:hAnsiTheme="minorHAnsi"/>
          <w:b/>
          <w:sz w:val="24"/>
          <w:szCs w:val="24"/>
          <w:lang w:val="en-GB"/>
        </w:rPr>
        <w:t xml:space="preserve"> </w:t>
      </w:r>
      <w:r w:rsidR="003C4BDB" w:rsidRPr="002C30D6">
        <w:rPr>
          <w:rFonts w:asciiTheme="minorHAnsi" w:hAnsiTheme="minorHAnsi"/>
          <w:b/>
          <w:sz w:val="24"/>
          <w:szCs w:val="24"/>
          <w:lang w:val="en-GB"/>
        </w:rPr>
        <w:t>introduction</w:t>
      </w:r>
    </w:p>
    <w:p w:rsidR="000704C1" w:rsidRPr="002C30D6" w:rsidRDefault="000704C1" w:rsidP="009840DD">
      <w:pPr>
        <w:pStyle w:val="bodytext"/>
        <w:spacing w:before="0" w:beforeAutospacing="0" w:after="120" w:afterAutospacing="0" w:line="276" w:lineRule="auto"/>
        <w:jc w:val="both"/>
        <w:rPr>
          <w:rFonts w:asciiTheme="minorHAnsi" w:hAnsiTheme="minorHAnsi" w:cs="Arial"/>
          <w:lang w:val="en-GB"/>
        </w:rPr>
      </w:pPr>
      <w:r w:rsidRPr="002C30D6">
        <w:rPr>
          <w:rFonts w:asciiTheme="minorHAnsi" w:hAnsiTheme="minorHAnsi" w:cs="Arial"/>
          <w:lang w:val="en-GB"/>
        </w:rPr>
        <w:t xml:space="preserve">The ageing population and longevity society brings up many challenges, such as quality of life, financial security, social inclusion, availability and accessibility of social care and medical treatment for older people, but at the same time it also presents questions regarding </w:t>
      </w:r>
      <w:r w:rsidRPr="002C30D6">
        <w:rPr>
          <w:rFonts w:asciiTheme="minorHAnsi" w:hAnsiTheme="minorHAnsi" w:cs="Arial"/>
          <w:b/>
          <w:lang w:val="en-GB"/>
        </w:rPr>
        <w:t>the possibilities of keeping older people involved as active and equal members of society</w:t>
      </w:r>
      <w:r w:rsidRPr="002C30D6">
        <w:rPr>
          <w:rFonts w:asciiTheme="minorHAnsi" w:hAnsiTheme="minorHAnsi" w:cs="Arial"/>
          <w:lang w:val="en-GB"/>
        </w:rPr>
        <w:t xml:space="preserve"> who can contribute to the development and empower social and cultural wealth of the community. </w:t>
      </w:r>
    </w:p>
    <w:p w:rsidR="003C4BDB" w:rsidRPr="002C30D6" w:rsidRDefault="000704C1" w:rsidP="009840DD">
      <w:pPr>
        <w:pStyle w:val="bodytext"/>
        <w:spacing w:before="0" w:beforeAutospacing="0" w:after="120" w:afterAutospacing="0" w:line="276" w:lineRule="auto"/>
        <w:jc w:val="both"/>
        <w:rPr>
          <w:rFonts w:asciiTheme="minorHAnsi" w:hAnsiTheme="minorHAnsi"/>
          <w:lang w:val="en-GB"/>
        </w:rPr>
      </w:pPr>
      <w:r w:rsidRPr="002C30D6">
        <w:rPr>
          <w:rFonts w:asciiTheme="minorHAnsi" w:hAnsiTheme="minorHAnsi" w:cs="Arial"/>
          <w:lang w:val="en-GB"/>
        </w:rPr>
        <w:t>Older people are not necessary (and not only) retired, lower producers or non-producers and passive recipients of various forms of aid and support by the state. Such stereotyped views on ageing and older people can be alarming, since the elderly must not become invisible, mute, and non-existent overnight with retirement (</w:t>
      </w:r>
      <w:proofErr w:type="spellStart"/>
      <w:r w:rsidRPr="002C30D6">
        <w:rPr>
          <w:rFonts w:asciiTheme="minorHAnsi" w:hAnsiTheme="minorHAnsi" w:cs="Arial"/>
          <w:lang w:val="en-GB"/>
        </w:rPr>
        <w:t>Krajnc</w:t>
      </w:r>
      <w:proofErr w:type="spellEnd"/>
      <w:r w:rsidRPr="002C30D6">
        <w:rPr>
          <w:rFonts w:asciiTheme="minorHAnsi" w:hAnsiTheme="minorHAnsi" w:cs="Arial"/>
          <w:lang w:val="en-GB"/>
        </w:rPr>
        <w:t>, 2016). On the contrary: learning, connectivity with social surrounding, social inclusion and participation are widely recognised as central to mental health, emotional wealth, cognitive, social and human capital, as well as to better quality of life, positive self-esteem and confidence, values and attitudes, etc. (</w:t>
      </w:r>
      <w:r w:rsidRPr="002C30D6">
        <w:rPr>
          <w:rFonts w:asciiTheme="minorHAnsi" w:hAnsiTheme="minorHAnsi"/>
          <w:lang w:val="en-GB"/>
        </w:rPr>
        <w:t xml:space="preserve">Merriam and </w:t>
      </w:r>
      <w:proofErr w:type="spellStart"/>
      <w:r w:rsidRPr="002C30D6">
        <w:rPr>
          <w:rFonts w:asciiTheme="minorHAnsi" w:hAnsiTheme="minorHAnsi"/>
          <w:lang w:val="en-GB"/>
        </w:rPr>
        <w:t>Kee</w:t>
      </w:r>
      <w:proofErr w:type="spellEnd"/>
      <w:r w:rsidRPr="002C30D6">
        <w:rPr>
          <w:rFonts w:asciiTheme="minorHAnsi" w:hAnsiTheme="minorHAnsi"/>
          <w:lang w:val="en-GB"/>
        </w:rPr>
        <w:t xml:space="preserve">, 2014; Schuller and Desjardins, 2007; </w:t>
      </w:r>
      <w:proofErr w:type="spellStart"/>
      <w:r w:rsidRPr="002C30D6">
        <w:rPr>
          <w:rFonts w:asciiTheme="minorHAnsi" w:hAnsiTheme="minorHAnsi"/>
          <w:lang w:val="en-GB"/>
        </w:rPr>
        <w:t>Tett</w:t>
      </w:r>
      <w:proofErr w:type="spellEnd"/>
      <w:r w:rsidRPr="002C30D6">
        <w:rPr>
          <w:rFonts w:asciiTheme="minorHAnsi" w:hAnsiTheme="minorHAnsi"/>
          <w:lang w:val="en-GB"/>
        </w:rPr>
        <w:t xml:space="preserve"> and </w:t>
      </w:r>
      <w:proofErr w:type="spellStart"/>
      <w:r w:rsidRPr="002C30D6">
        <w:rPr>
          <w:rFonts w:asciiTheme="minorHAnsi" w:hAnsiTheme="minorHAnsi"/>
          <w:lang w:val="en-GB"/>
        </w:rPr>
        <w:t>Maclachlan</w:t>
      </w:r>
      <w:proofErr w:type="spellEnd"/>
      <w:r w:rsidRPr="002C30D6">
        <w:rPr>
          <w:rFonts w:asciiTheme="minorHAnsi" w:hAnsiTheme="minorHAnsi"/>
          <w:lang w:val="en-GB"/>
        </w:rPr>
        <w:t>, 2007</w:t>
      </w:r>
      <w:r w:rsidRPr="002C30D6">
        <w:rPr>
          <w:rFonts w:asciiTheme="minorHAnsi" w:hAnsiTheme="minorHAnsi" w:cs="Arial"/>
          <w:lang w:val="en-GB"/>
        </w:rPr>
        <w:t>; G</w:t>
      </w:r>
      <w:r w:rsidR="00577A01" w:rsidRPr="002C30D6">
        <w:rPr>
          <w:rFonts w:asciiTheme="minorHAnsi" w:hAnsiTheme="minorHAnsi"/>
          <w:lang w:val="en-GB"/>
        </w:rPr>
        <w:t>olding, 2011a; 2011b;</w:t>
      </w:r>
      <w:r w:rsidRPr="002C30D6">
        <w:rPr>
          <w:rFonts w:asciiTheme="minorHAnsi" w:hAnsiTheme="minorHAnsi"/>
          <w:lang w:val="en-GB"/>
        </w:rPr>
        <w:t xml:space="preserve"> Foresight Mental Capital and Wellbeing Project, 2008; Williamson, 2011</w:t>
      </w:r>
      <w:r w:rsidR="00577A01" w:rsidRPr="002C30D6">
        <w:rPr>
          <w:rFonts w:asciiTheme="minorHAnsi" w:hAnsiTheme="minorHAnsi"/>
          <w:lang w:val="en-GB"/>
        </w:rPr>
        <w:t>;</w:t>
      </w:r>
      <w:r w:rsidRPr="002C30D6">
        <w:rPr>
          <w:rFonts w:asciiTheme="minorHAnsi" w:hAnsiTheme="minorHAnsi"/>
          <w:lang w:val="en-GB"/>
        </w:rPr>
        <w:t xml:space="preserve"> etc.). </w:t>
      </w:r>
    </w:p>
    <w:p w:rsidR="00577A01" w:rsidRPr="002C30D6" w:rsidRDefault="000704C1" w:rsidP="009840DD">
      <w:pPr>
        <w:pStyle w:val="bodytext"/>
        <w:spacing w:before="0" w:beforeAutospacing="0" w:after="120" w:afterAutospacing="0" w:line="276" w:lineRule="auto"/>
        <w:jc w:val="both"/>
        <w:rPr>
          <w:rFonts w:asciiTheme="minorHAnsi" w:hAnsiTheme="minorHAnsi"/>
          <w:b/>
          <w:lang w:val="en-GB"/>
        </w:rPr>
      </w:pPr>
      <w:r w:rsidRPr="002C30D6">
        <w:rPr>
          <w:rFonts w:asciiTheme="minorHAnsi" w:hAnsiTheme="minorHAnsi" w:cs="Arial"/>
          <w:lang w:val="en-GB"/>
        </w:rPr>
        <w:t>Forcing older people to a social and psychological death by not giving them an opportunity to fully experience the new life situation that they are entering can be devastating not only for them, but also for our society and the state (</w:t>
      </w:r>
      <w:proofErr w:type="spellStart"/>
      <w:r w:rsidRPr="002C30D6">
        <w:rPr>
          <w:rFonts w:asciiTheme="minorHAnsi" w:hAnsiTheme="minorHAnsi" w:cs="Arial"/>
          <w:lang w:val="en-GB"/>
        </w:rPr>
        <w:t>Krajnc</w:t>
      </w:r>
      <w:proofErr w:type="spellEnd"/>
      <w:r w:rsidRPr="002C30D6">
        <w:rPr>
          <w:rFonts w:asciiTheme="minorHAnsi" w:hAnsiTheme="minorHAnsi" w:cs="Arial"/>
          <w:lang w:val="en-GB"/>
        </w:rPr>
        <w:t xml:space="preserve">, 2016). </w:t>
      </w:r>
      <w:r w:rsidRPr="002C30D6">
        <w:rPr>
          <w:rFonts w:asciiTheme="minorHAnsi" w:hAnsiTheme="minorHAnsi"/>
          <w:lang w:val="en-GB"/>
        </w:rPr>
        <w:t xml:space="preserve">To this end our project </w:t>
      </w:r>
      <w:r w:rsidRPr="002C30D6">
        <w:rPr>
          <w:rFonts w:asciiTheme="minorHAnsi" w:hAnsiTheme="minorHAnsi"/>
          <w:i/>
          <w:lang w:val="en-GB"/>
        </w:rPr>
        <w:t>Old Guys Say Yes to Community</w:t>
      </w:r>
      <w:r w:rsidRPr="002C30D6">
        <w:rPr>
          <w:rFonts w:asciiTheme="minorHAnsi" w:hAnsiTheme="minorHAnsi" w:cs="Arial"/>
          <w:lang w:val="en-GB"/>
        </w:rPr>
        <w:t xml:space="preserve"> </w:t>
      </w:r>
      <w:r w:rsidR="00917DFD" w:rsidRPr="002C30D6">
        <w:rPr>
          <w:rFonts w:asciiTheme="minorHAnsi" w:hAnsiTheme="minorHAnsi"/>
          <w:lang w:val="en-GB"/>
        </w:rPr>
        <w:t xml:space="preserve">developed with European partners from Poland, Estonia and Portugal </w:t>
      </w:r>
      <w:r w:rsidRPr="002C30D6">
        <w:rPr>
          <w:rFonts w:asciiTheme="minorHAnsi" w:hAnsiTheme="minorHAnsi"/>
          <w:lang w:val="en-GB"/>
        </w:rPr>
        <w:t xml:space="preserve">reveals errors and lost opportunities but also proposes possibilities, suggestions and good practices to foster participation of older people (particularly men 60+) in our societies with the aim of increasing their and our wellbeing, quality of life, happiness and health. </w:t>
      </w:r>
      <w:r w:rsidR="00577A01" w:rsidRPr="002C30D6">
        <w:rPr>
          <w:rFonts w:asciiTheme="minorHAnsi" w:hAnsiTheme="minorHAnsi"/>
          <w:lang w:val="en-GB"/>
        </w:rPr>
        <w:t>The</w:t>
      </w:r>
      <w:r w:rsidR="00D871CA" w:rsidRPr="002C30D6">
        <w:rPr>
          <w:rFonts w:asciiTheme="minorHAnsi" w:hAnsiTheme="minorHAnsi"/>
          <w:lang w:val="en-GB"/>
        </w:rPr>
        <w:t>refore we</w:t>
      </w:r>
      <w:r w:rsidR="00577A01" w:rsidRPr="002C30D6">
        <w:rPr>
          <w:rFonts w:asciiTheme="minorHAnsi" w:hAnsiTheme="minorHAnsi"/>
          <w:lang w:val="en-GB"/>
        </w:rPr>
        <w:t>:</w:t>
      </w:r>
    </w:p>
    <w:p w:rsidR="00577A01" w:rsidRPr="002C30D6" w:rsidRDefault="00D871CA" w:rsidP="008F2100">
      <w:pPr>
        <w:pStyle w:val="bodytext"/>
        <w:spacing w:before="0" w:beforeAutospacing="0" w:after="0" w:afterAutospacing="0" w:line="276" w:lineRule="auto"/>
        <w:ind w:left="284" w:hanging="1"/>
        <w:jc w:val="both"/>
        <w:rPr>
          <w:rFonts w:asciiTheme="minorHAnsi" w:hAnsiTheme="minorHAnsi"/>
          <w:lang w:val="en-GB"/>
        </w:rPr>
      </w:pPr>
      <w:r w:rsidRPr="002C30D6">
        <w:rPr>
          <w:rFonts w:asciiTheme="minorHAnsi" w:hAnsiTheme="minorHAnsi"/>
          <w:lang w:val="en-GB"/>
        </w:rPr>
        <w:t xml:space="preserve">a) </w:t>
      </w:r>
      <w:proofErr w:type="gramStart"/>
      <w:r w:rsidR="00577A01" w:rsidRPr="002C30D6">
        <w:rPr>
          <w:rFonts w:asciiTheme="minorHAnsi" w:hAnsiTheme="minorHAnsi"/>
          <w:lang w:val="en-GB"/>
        </w:rPr>
        <w:t>evaluate</w:t>
      </w:r>
      <w:r w:rsidRPr="002C30D6">
        <w:rPr>
          <w:rFonts w:asciiTheme="minorHAnsi" w:hAnsiTheme="minorHAnsi"/>
          <w:lang w:val="en-GB"/>
        </w:rPr>
        <w:t>d</w:t>
      </w:r>
      <w:proofErr w:type="gramEnd"/>
      <w:r w:rsidR="00577A01" w:rsidRPr="002C30D6">
        <w:rPr>
          <w:rFonts w:asciiTheme="minorHAnsi" w:hAnsiTheme="minorHAnsi"/>
          <w:lang w:val="en-GB"/>
        </w:rPr>
        <w:t xml:space="preserve"> wellbeing and involvement of older adults (particularly men 60+) in education and learning in their local environments;</w:t>
      </w:r>
    </w:p>
    <w:p w:rsidR="00577A01" w:rsidRPr="002C30D6" w:rsidRDefault="00577A01" w:rsidP="008F2100">
      <w:pPr>
        <w:pStyle w:val="bodytext"/>
        <w:spacing w:before="0" w:beforeAutospacing="0" w:after="0" w:afterAutospacing="0" w:line="276" w:lineRule="auto"/>
        <w:ind w:left="284" w:hanging="1"/>
        <w:jc w:val="both"/>
        <w:rPr>
          <w:rFonts w:asciiTheme="minorHAnsi" w:hAnsiTheme="minorHAnsi"/>
          <w:lang w:val="en-GB"/>
        </w:rPr>
      </w:pPr>
      <w:proofErr w:type="gramStart"/>
      <w:r w:rsidRPr="002C30D6">
        <w:rPr>
          <w:rFonts w:asciiTheme="minorHAnsi" w:hAnsiTheme="minorHAnsi"/>
          <w:lang w:val="en-GB"/>
        </w:rPr>
        <w:t>b</w:t>
      </w:r>
      <w:proofErr w:type="gramEnd"/>
      <w:r w:rsidRPr="002C30D6">
        <w:rPr>
          <w:rFonts w:asciiTheme="minorHAnsi" w:hAnsiTheme="minorHAnsi"/>
          <w:lang w:val="en-GB"/>
        </w:rPr>
        <w:t>) identif</w:t>
      </w:r>
      <w:r w:rsidR="00D871CA" w:rsidRPr="002C30D6">
        <w:rPr>
          <w:rFonts w:asciiTheme="minorHAnsi" w:hAnsiTheme="minorHAnsi"/>
          <w:lang w:val="en-GB"/>
        </w:rPr>
        <w:t>ied</w:t>
      </w:r>
      <w:r w:rsidRPr="002C30D6">
        <w:rPr>
          <w:rFonts w:asciiTheme="minorHAnsi" w:hAnsiTheme="minorHAnsi"/>
          <w:lang w:val="en-GB"/>
        </w:rPr>
        <w:t xml:space="preserve"> obstacles and opportunities for greater involvement of older adults (particularly men 60+) in community activities and communities of practice;</w:t>
      </w:r>
    </w:p>
    <w:p w:rsidR="002275DE" w:rsidRPr="002C30D6" w:rsidRDefault="00577A01" w:rsidP="008F2100">
      <w:pPr>
        <w:pStyle w:val="bodytext"/>
        <w:spacing w:before="0" w:beforeAutospacing="0" w:after="120" w:afterAutospacing="0" w:line="276" w:lineRule="auto"/>
        <w:ind w:left="284" w:hanging="1"/>
        <w:jc w:val="both"/>
        <w:rPr>
          <w:rFonts w:asciiTheme="minorHAnsi" w:hAnsiTheme="minorHAnsi"/>
          <w:lang w:val="en-GB"/>
        </w:rPr>
      </w:pPr>
      <w:r w:rsidRPr="002C30D6">
        <w:rPr>
          <w:rFonts w:asciiTheme="minorHAnsi" w:hAnsiTheme="minorHAnsi"/>
          <w:lang w:val="en-GB"/>
        </w:rPr>
        <w:t xml:space="preserve">c) </w:t>
      </w:r>
      <w:proofErr w:type="gramStart"/>
      <w:r w:rsidR="00D871CA" w:rsidRPr="002C30D6">
        <w:rPr>
          <w:rFonts w:asciiTheme="minorHAnsi" w:hAnsiTheme="minorHAnsi"/>
          <w:lang w:val="en-GB"/>
        </w:rPr>
        <w:t>and</w:t>
      </w:r>
      <w:proofErr w:type="gramEnd"/>
      <w:r w:rsidR="00D871CA" w:rsidRPr="002C30D6">
        <w:rPr>
          <w:rFonts w:asciiTheme="minorHAnsi" w:hAnsiTheme="minorHAnsi"/>
          <w:lang w:val="en-GB"/>
        </w:rPr>
        <w:t xml:space="preserve"> </w:t>
      </w:r>
      <w:r w:rsidRPr="002C30D6">
        <w:rPr>
          <w:rFonts w:asciiTheme="minorHAnsi" w:hAnsiTheme="minorHAnsi"/>
          <w:lang w:val="en-GB"/>
        </w:rPr>
        <w:t>prepare</w:t>
      </w:r>
      <w:r w:rsidR="00D871CA" w:rsidRPr="002C30D6">
        <w:rPr>
          <w:rFonts w:asciiTheme="minorHAnsi" w:hAnsiTheme="minorHAnsi"/>
          <w:lang w:val="en-GB"/>
        </w:rPr>
        <w:t>d</w:t>
      </w:r>
      <w:r w:rsidRPr="002C30D6">
        <w:rPr>
          <w:rFonts w:asciiTheme="minorHAnsi" w:hAnsiTheme="minorHAnsi"/>
          <w:lang w:val="en-GB"/>
        </w:rPr>
        <w:t xml:space="preserve"> concrete recommendations for local community authorities and non-governmental organisations to empower older people (particularly men 60+) in their communities.</w:t>
      </w:r>
    </w:p>
    <w:p w:rsidR="002275DE" w:rsidRPr="002C30D6" w:rsidRDefault="008F2100" w:rsidP="002275DE">
      <w:pPr>
        <w:pStyle w:val="bodytext"/>
        <w:spacing w:before="0" w:beforeAutospacing="0" w:after="120" w:afterAutospacing="0" w:line="276" w:lineRule="auto"/>
        <w:ind w:left="1" w:hanging="1"/>
        <w:jc w:val="both"/>
        <w:rPr>
          <w:rFonts w:asciiTheme="minorHAnsi" w:hAnsiTheme="minorHAnsi"/>
          <w:lang w:val="en-GB"/>
        </w:rPr>
      </w:pPr>
      <w:r w:rsidRPr="002C30D6">
        <w:rPr>
          <w:rFonts w:asciiTheme="minorHAnsi" w:hAnsiTheme="minorHAnsi" w:cs="Arial"/>
          <w:lang w:val="en-GB"/>
        </w:rPr>
        <w:t>O</w:t>
      </w:r>
      <w:r w:rsidR="002275DE" w:rsidRPr="002C30D6">
        <w:rPr>
          <w:rFonts w:asciiTheme="minorHAnsi" w:hAnsiTheme="minorHAnsi" w:cs="Arial"/>
          <w:lang w:val="en-GB"/>
        </w:rPr>
        <w:t>ur project</w:t>
      </w:r>
      <w:r w:rsidRPr="002C30D6">
        <w:rPr>
          <w:rFonts w:asciiTheme="minorHAnsi" w:hAnsiTheme="minorHAnsi" w:cs="Arial"/>
          <w:lang w:val="en-GB"/>
        </w:rPr>
        <w:t xml:space="preserve"> </w:t>
      </w:r>
      <w:r w:rsidR="002275DE" w:rsidRPr="002C30D6">
        <w:rPr>
          <w:rFonts w:asciiTheme="minorHAnsi" w:hAnsiTheme="minorHAnsi" w:cs="Arial"/>
          <w:lang w:val="en-GB"/>
        </w:rPr>
        <w:t xml:space="preserve">proved how our societies </w:t>
      </w:r>
      <w:r w:rsidR="002275DE" w:rsidRPr="002C30D6">
        <w:rPr>
          <w:rFonts w:asciiTheme="minorHAnsi" w:hAnsiTheme="minorHAnsi"/>
          <w:lang w:val="en-GB"/>
        </w:rPr>
        <w:t>have failed to prepare an appropriate ground for the inevitable demographic, economic and social changes in the las</w:t>
      </w:r>
      <w:r w:rsidRPr="002C30D6">
        <w:rPr>
          <w:rFonts w:asciiTheme="minorHAnsi" w:hAnsiTheme="minorHAnsi"/>
          <w:lang w:val="en-GB"/>
        </w:rPr>
        <w:t>t few decades. In particular, it</w:t>
      </w:r>
      <w:r w:rsidR="002275DE" w:rsidRPr="002C30D6">
        <w:rPr>
          <w:rFonts w:asciiTheme="minorHAnsi" w:hAnsiTheme="minorHAnsi"/>
          <w:lang w:val="en-GB"/>
        </w:rPr>
        <w:t xml:space="preserve"> showed that our societies have not recognized the disappearance of older men from community activities - not so much due to death, illness, financial or other deprivation, </w:t>
      </w:r>
      <w:r w:rsidR="002275DE" w:rsidRPr="002C30D6">
        <w:rPr>
          <w:rStyle w:val="shorttext"/>
          <w:rFonts w:asciiTheme="minorHAnsi" w:hAnsiTheme="minorHAnsi"/>
          <w:lang w:val="en-GB"/>
        </w:rPr>
        <w:t xml:space="preserve">depression, dementia, etc., but mostly due to </w:t>
      </w:r>
      <w:r w:rsidR="002275DE" w:rsidRPr="002C30D6">
        <w:rPr>
          <w:rFonts w:asciiTheme="minorHAnsi" w:hAnsiTheme="minorHAnsi"/>
          <w:lang w:val="en-GB"/>
        </w:rPr>
        <w:t xml:space="preserve">isolation, uselessness and needlessness in the contemporary way of life. The </w:t>
      </w:r>
      <w:r w:rsidR="002275DE" w:rsidRPr="002C30D6">
        <w:rPr>
          <w:rFonts w:asciiTheme="minorHAnsi" w:hAnsiTheme="minorHAnsi"/>
          <w:b/>
          <w:lang w:val="en-GB"/>
        </w:rPr>
        <w:t xml:space="preserve">Recommendation letter for local community authorities in Slovenia </w:t>
      </w:r>
      <w:r w:rsidR="00D871CA" w:rsidRPr="002C30D6">
        <w:rPr>
          <w:rFonts w:asciiTheme="minorHAnsi" w:hAnsiTheme="minorHAnsi"/>
          <w:lang w:val="en-GB"/>
        </w:rPr>
        <w:t>therefore</w:t>
      </w:r>
      <w:r w:rsidR="00D871CA" w:rsidRPr="002C30D6">
        <w:rPr>
          <w:rFonts w:asciiTheme="minorHAnsi" w:hAnsiTheme="minorHAnsi"/>
          <w:b/>
          <w:lang w:val="en-GB"/>
        </w:rPr>
        <w:t xml:space="preserve"> </w:t>
      </w:r>
      <w:r w:rsidR="002275DE" w:rsidRPr="002C30D6">
        <w:rPr>
          <w:rFonts w:asciiTheme="minorHAnsi" w:hAnsiTheme="minorHAnsi"/>
          <w:lang w:val="en-GB"/>
        </w:rPr>
        <w:t>presents our main findings, which can foster strategy and policy implementation for lifelong learning, longevity society and ageing population in local environments (with the emphasis on older men).</w:t>
      </w:r>
    </w:p>
    <w:p w:rsidR="003C4BDB" w:rsidRPr="002C30D6" w:rsidRDefault="002C30D6" w:rsidP="003C4BDB">
      <w:pPr>
        <w:pStyle w:val="nagwek1"/>
        <w:rPr>
          <w:rFonts w:asciiTheme="minorHAnsi" w:hAnsiTheme="minorHAnsi"/>
          <w:b/>
          <w:sz w:val="24"/>
          <w:szCs w:val="24"/>
          <w:lang w:val="en-GB"/>
        </w:rPr>
      </w:pPr>
      <w:r>
        <w:rPr>
          <w:rFonts w:asciiTheme="minorHAnsi" w:hAnsiTheme="minorHAnsi"/>
          <w:b/>
          <w:sz w:val="24"/>
          <w:szCs w:val="24"/>
          <w:lang w:val="en-GB"/>
        </w:rPr>
        <w:lastRenderedPageBreak/>
        <w:t>2</w:t>
      </w:r>
      <w:r w:rsidR="003C4BDB" w:rsidRPr="002C30D6">
        <w:rPr>
          <w:rFonts w:asciiTheme="minorHAnsi" w:hAnsiTheme="minorHAnsi"/>
          <w:b/>
          <w:sz w:val="24"/>
          <w:szCs w:val="24"/>
          <w:lang w:val="en-GB"/>
        </w:rPr>
        <w:t xml:space="preserve"> The DESCRIPTION </w:t>
      </w:r>
      <w:r w:rsidR="00E03578" w:rsidRPr="002C30D6">
        <w:rPr>
          <w:rFonts w:asciiTheme="minorHAnsi" w:hAnsiTheme="minorHAnsi"/>
          <w:b/>
          <w:sz w:val="24"/>
          <w:szCs w:val="24"/>
          <w:lang w:val="en-GB"/>
        </w:rPr>
        <w:t xml:space="preserve">of </w:t>
      </w:r>
      <w:r w:rsidR="003C4BDB" w:rsidRPr="002C30D6">
        <w:rPr>
          <w:rFonts w:asciiTheme="minorHAnsi" w:hAnsiTheme="minorHAnsi"/>
          <w:b/>
          <w:sz w:val="24"/>
          <w:szCs w:val="24"/>
          <w:lang w:val="en-GB"/>
        </w:rPr>
        <w:t xml:space="preserve">THE SOCIO-CULTURAL AND ECONOMIC CONDITIONS </w:t>
      </w:r>
    </w:p>
    <w:p w:rsidR="00930AD7" w:rsidRPr="002C30D6" w:rsidRDefault="00930AD7" w:rsidP="00917DFD">
      <w:pPr>
        <w:autoSpaceDE w:val="0"/>
        <w:autoSpaceDN w:val="0"/>
        <w:adjustRightInd w:val="0"/>
        <w:spacing w:after="120" w:line="276" w:lineRule="auto"/>
        <w:jc w:val="both"/>
        <w:rPr>
          <w:rFonts w:eastAsia="PalladioLOT-Roman" w:cs="PalladioLOT-Roman"/>
          <w:color w:val="auto"/>
          <w:sz w:val="24"/>
          <w:szCs w:val="24"/>
          <w:lang w:val="en-GB"/>
        </w:rPr>
      </w:pPr>
      <w:r w:rsidRPr="002C30D6">
        <w:rPr>
          <w:rFonts w:eastAsia="PalladioLOT-Roman" w:cs="PalladioLOT-Roman"/>
          <w:color w:val="auto"/>
          <w:sz w:val="24"/>
          <w:szCs w:val="24"/>
          <w:lang w:val="en-GB"/>
        </w:rPr>
        <w:t>The current Slovenian ‘welfare mix’ system has undergone significant changes in the last 30 years. Evolved out of the state-socialist welfare system established in Yugoslavia, it resembles the welfare systems of Western Europe, with some elements of a conservative-corporate welfare system and a social-democratic welfare system, where a strong public or state sector is still the dominant service provider of all types</w:t>
      </w:r>
      <w:r w:rsidR="00601DCA" w:rsidRPr="002C30D6">
        <w:rPr>
          <w:rFonts w:eastAsia="PalladioLOT-Roman" w:cs="PalladioLOT-Roman"/>
          <w:color w:val="auto"/>
          <w:sz w:val="24"/>
          <w:szCs w:val="24"/>
          <w:lang w:val="en-GB"/>
        </w:rPr>
        <w:t xml:space="preserve"> of services (</w:t>
      </w:r>
      <w:proofErr w:type="spellStart"/>
      <w:r w:rsidR="00601DCA" w:rsidRPr="002C30D6">
        <w:rPr>
          <w:rFonts w:eastAsia="PalladioLOT-Roman" w:cs="PalladioLOT-Roman"/>
          <w:color w:val="auto"/>
          <w:sz w:val="24"/>
          <w:szCs w:val="24"/>
          <w:lang w:val="en-GB"/>
        </w:rPr>
        <w:t>Kolarič</w:t>
      </w:r>
      <w:proofErr w:type="spellEnd"/>
      <w:r w:rsidR="00601DCA" w:rsidRPr="002C30D6">
        <w:rPr>
          <w:rFonts w:eastAsia="PalladioLOT-Roman" w:cs="PalladioLOT-Roman"/>
          <w:color w:val="auto"/>
          <w:sz w:val="24"/>
          <w:szCs w:val="24"/>
          <w:lang w:val="en-GB"/>
        </w:rPr>
        <w:t xml:space="preserve">, </w:t>
      </w:r>
      <w:proofErr w:type="spellStart"/>
      <w:r w:rsidR="00601DCA" w:rsidRPr="002C30D6">
        <w:rPr>
          <w:rFonts w:eastAsia="PalladioLOT-Roman" w:cs="PalladioLOT-Roman"/>
          <w:color w:val="auto"/>
          <w:sz w:val="24"/>
          <w:szCs w:val="24"/>
          <w:lang w:val="en-GB"/>
        </w:rPr>
        <w:t>Kopač</w:t>
      </w:r>
      <w:proofErr w:type="spellEnd"/>
      <w:r w:rsidR="00601DCA" w:rsidRPr="002C30D6">
        <w:rPr>
          <w:rFonts w:eastAsia="PalladioLOT-Roman" w:cs="PalladioLOT-Roman"/>
          <w:color w:val="auto"/>
          <w:sz w:val="24"/>
          <w:szCs w:val="24"/>
          <w:lang w:val="en-GB"/>
        </w:rPr>
        <w:t xml:space="preserve"> and</w:t>
      </w:r>
      <w:r w:rsidRPr="002C30D6">
        <w:rPr>
          <w:rFonts w:eastAsia="PalladioLOT-Roman" w:cs="PalladioLOT-Roman"/>
          <w:color w:val="auto"/>
          <w:sz w:val="24"/>
          <w:szCs w:val="24"/>
          <w:lang w:val="en-GB"/>
        </w:rPr>
        <w:t xml:space="preserve"> </w:t>
      </w:r>
      <w:proofErr w:type="spellStart"/>
      <w:r w:rsidRPr="002C30D6">
        <w:rPr>
          <w:rFonts w:eastAsia="PalladioLOT-Roman" w:cs="PalladioLOT-Roman"/>
          <w:color w:val="auto"/>
          <w:sz w:val="24"/>
          <w:szCs w:val="24"/>
          <w:lang w:val="en-GB"/>
        </w:rPr>
        <w:t>Rakar</w:t>
      </w:r>
      <w:proofErr w:type="spellEnd"/>
      <w:r w:rsidRPr="002C30D6">
        <w:rPr>
          <w:rFonts w:eastAsia="PalladioLOT-Roman" w:cs="PalladioLOT-Roman"/>
          <w:color w:val="auto"/>
          <w:sz w:val="24"/>
          <w:szCs w:val="24"/>
          <w:lang w:val="en-GB"/>
        </w:rPr>
        <w:t xml:space="preserve">, 2009; </w:t>
      </w:r>
      <w:proofErr w:type="spellStart"/>
      <w:r w:rsidRPr="002C30D6">
        <w:rPr>
          <w:rFonts w:eastAsia="PalladioLOT-Roman" w:cs="PalladioLOT-Roman"/>
          <w:color w:val="auto"/>
          <w:sz w:val="24"/>
          <w:szCs w:val="24"/>
          <w:lang w:val="en-GB"/>
        </w:rPr>
        <w:t>Kolarič</w:t>
      </w:r>
      <w:proofErr w:type="spellEnd"/>
      <w:r w:rsidR="00601DCA" w:rsidRPr="002C30D6">
        <w:rPr>
          <w:rFonts w:eastAsia="PalladioLOT-Roman" w:cs="PalladioLOT-Roman"/>
          <w:color w:val="auto"/>
          <w:sz w:val="24"/>
          <w:szCs w:val="24"/>
          <w:lang w:val="en-GB"/>
        </w:rPr>
        <w:t>,</w:t>
      </w:r>
      <w:r w:rsidRPr="002C30D6">
        <w:rPr>
          <w:rFonts w:eastAsia="PalladioLOT-Roman" w:cs="PalladioLOT-Roman"/>
          <w:color w:val="auto"/>
          <w:sz w:val="24"/>
          <w:szCs w:val="24"/>
          <w:lang w:val="en-GB"/>
        </w:rPr>
        <w:t xml:space="preserve"> 1992; </w:t>
      </w:r>
      <w:proofErr w:type="spellStart"/>
      <w:r w:rsidRPr="002C30D6">
        <w:rPr>
          <w:rFonts w:eastAsia="PalladioLOT-Roman" w:cs="PalladioLOT-Roman"/>
          <w:color w:val="auto"/>
          <w:sz w:val="24"/>
          <w:szCs w:val="24"/>
          <w:lang w:val="en-GB"/>
        </w:rPr>
        <w:t>Kopač</w:t>
      </w:r>
      <w:proofErr w:type="spellEnd"/>
      <w:r w:rsidR="00601DCA" w:rsidRPr="002C30D6">
        <w:rPr>
          <w:rFonts w:eastAsia="PalladioLOT-Roman" w:cs="PalladioLOT-Roman"/>
          <w:color w:val="auto"/>
          <w:sz w:val="24"/>
          <w:szCs w:val="24"/>
          <w:lang w:val="en-GB"/>
        </w:rPr>
        <w:t>,</w:t>
      </w:r>
      <w:r w:rsidR="00D871CA" w:rsidRPr="002C30D6">
        <w:rPr>
          <w:rFonts w:eastAsia="PalladioLOT-Roman" w:cs="PalladioLOT-Roman"/>
          <w:color w:val="auto"/>
          <w:sz w:val="24"/>
          <w:szCs w:val="24"/>
          <w:lang w:val="en-GB"/>
        </w:rPr>
        <w:t xml:space="preserve"> 2005; </w:t>
      </w:r>
      <w:proofErr w:type="spellStart"/>
      <w:r w:rsidR="00D871CA" w:rsidRPr="002C30D6">
        <w:rPr>
          <w:rFonts w:eastAsia="PalladioLOT-Roman" w:cs="PalladioLOT-Roman"/>
          <w:color w:val="auto"/>
          <w:sz w:val="24"/>
          <w:szCs w:val="24"/>
          <w:lang w:val="en-GB"/>
        </w:rPr>
        <w:t>Črnak-</w:t>
      </w:r>
      <w:r w:rsidRPr="002C30D6">
        <w:rPr>
          <w:rFonts w:eastAsia="PalladioLOT-Roman" w:cs="PalladioLOT-Roman"/>
          <w:color w:val="auto"/>
          <w:sz w:val="24"/>
          <w:szCs w:val="24"/>
          <w:lang w:val="en-GB"/>
        </w:rPr>
        <w:t>Meglič</w:t>
      </w:r>
      <w:proofErr w:type="spellEnd"/>
      <w:r w:rsidR="00CA33D3" w:rsidRPr="002C30D6">
        <w:rPr>
          <w:rFonts w:eastAsia="PalladioLOT-Roman" w:cs="PalladioLOT-Roman"/>
          <w:color w:val="auto"/>
          <w:sz w:val="24"/>
          <w:szCs w:val="24"/>
          <w:lang w:val="en-GB"/>
        </w:rPr>
        <w:t xml:space="preserve"> and </w:t>
      </w:r>
      <w:proofErr w:type="spellStart"/>
      <w:r w:rsidR="00CA33D3" w:rsidRPr="002C30D6">
        <w:rPr>
          <w:rFonts w:eastAsia="PalladioLOT-Roman" w:cs="PalladioLOT-Roman"/>
          <w:color w:val="auto"/>
          <w:sz w:val="24"/>
          <w:szCs w:val="24"/>
          <w:lang w:val="en-GB"/>
        </w:rPr>
        <w:t>Rakar</w:t>
      </w:r>
      <w:proofErr w:type="spellEnd"/>
      <w:r w:rsidR="00CA33D3" w:rsidRPr="002C30D6">
        <w:rPr>
          <w:rFonts w:eastAsia="PalladioLOT-Roman" w:cs="PalladioLOT-Roman"/>
          <w:color w:val="auto"/>
          <w:sz w:val="24"/>
          <w:szCs w:val="24"/>
          <w:lang w:val="en-GB"/>
        </w:rPr>
        <w:t xml:space="preserve"> 2009</w:t>
      </w:r>
      <w:r w:rsidRPr="002C30D6">
        <w:rPr>
          <w:rFonts w:eastAsia="PalladioLOT-Roman" w:cs="PalladioLOT-Roman"/>
          <w:color w:val="auto"/>
          <w:sz w:val="24"/>
          <w:szCs w:val="24"/>
          <w:lang w:val="en-GB"/>
        </w:rPr>
        <w:t>;</w:t>
      </w:r>
      <w:r w:rsidRPr="002C30D6">
        <w:rPr>
          <w:color w:val="auto"/>
          <w:sz w:val="24"/>
          <w:szCs w:val="24"/>
          <w:lang w:val="en-GB"/>
        </w:rPr>
        <w:t xml:space="preserve"> </w:t>
      </w:r>
      <w:proofErr w:type="spellStart"/>
      <w:r w:rsidRPr="002C30D6">
        <w:rPr>
          <w:rFonts w:eastAsia="PalladioLOT-Roman" w:cs="PalladioLOT-Roman"/>
          <w:color w:val="auto"/>
          <w:sz w:val="24"/>
          <w:szCs w:val="24"/>
          <w:lang w:val="en-GB"/>
        </w:rPr>
        <w:t>Filipovič</w:t>
      </w:r>
      <w:proofErr w:type="spellEnd"/>
      <w:r w:rsidRPr="002C30D6">
        <w:rPr>
          <w:rFonts w:eastAsia="PalladioLOT-Roman" w:cs="PalladioLOT-Roman"/>
          <w:color w:val="auto"/>
          <w:sz w:val="24"/>
          <w:szCs w:val="24"/>
          <w:lang w:val="en-GB"/>
        </w:rPr>
        <w:t xml:space="preserve"> </w:t>
      </w:r>
      <w:proofErr w:type="spellStart"/>
      <w:r w:rsidRPr="002C30D6">
        <w:rPr>
          <w:rFonts w:eastAsia="PalladioLOT-Roman" w:cs="PalladioLOT-Roman"/>
          <w:color w:val="auto"/>
          <w:sz w:val="24"/>
          <w:szCs w:val="24"/>
          <w:lang w:val="en-GB"/>
        </w:rPr>
        <w:t>Hrast</w:t>
      </w:r>
      <w:proofErr w:type="spellEnd"/>
      <w:r w:rsidRPr="002C30D6">
        <w:rPr>
          <w:rFonts w:eastAsia="PalladioLOT-Roman" w:cs="PalladioLOT-Roman"/>
          <w:color w:val="auto"/>
          <w:sz w:val="24"/>
          <w:szCs w:val="24"/>
          <w:lang w:val="en-GB"/>
        </w:rPr>
        <w:t xml:space="preserve">, </w:t>
      </w:r>
      <w:proofErr w:type="spellStart"/>
      <w:r w:rsidRPr="002C30D6">
        <w:rPr>
          <w:rFonts w:eastAsia="PalladioLOT-Roman" w:cs="PalladioLOT-Roman"/>
          <w:color w:val="auto"/>
          <w:sz w:val="24"/>
          <w:szCs w:val="24"/>
          <w:lang w:val="en-GB"/>
        </w:rPr>
        <w:t>Hlebec</w:t>
      </w:r>
      <w:proofErr w:type="spellEnd"/>
      <w:r w:rsidRPr="002C30D6">
        <w:rPr>
          <w:rFonts w:eastAsia="PalladioLOT-Roman" w:cs="PalladioLOT-Roman"/>
          <w:color w:val="auto"/>
          <w:sz w:val="24"/>
          <w:szCs w:val="24"/>
          <w:lang w:val="en-GB"/>
        </w:rPr>
        <w:t xml:space="preserve"> and </w:t>
      </w:r>
      <w:proofErr w:type="spellStart"/>
      <w:r w:rsidRPr="002C30D6">
        <w:rPr>
          <w:rFonts w:eastAsia="PalladioLOT-Roman" w:cs="PalladioLOT-Roman"/>
          <w:color w:val="auto"/>
          <w:sz w:val="24"/>
          <w:szCs w:val="24"/>
          <w:lang w:val="en-GB"/>
        </w:rPr>
        <w:t>Kavčič</w:t>
      </w:r>
      <w:proofErr w:type="spellEnd"/>
      <w:r w:rsidRPr="002C30D6">
        <w:rPr>
          <w:rFonts w:eastAsia="PalladioLOT-Roman" w:cs="PalladioLOT-Roman"/>
          <w:color w:val="auto"/>
          <w:sz w:val="24"/>
          <w:szCs w:val="24"/>
          <w:lang w:val="en-GB"/>
        </w:rPr>
        <w:t xml:space="preserve">, 2012). However, some of the social protections provided by the state have been slowly reined in – which can already be recognized by a greater material deprivation in the country and the shrinking state support for socially excluded and vulnerable groups among which </w:t>
      </w:r>
      <w:r w:rsidRPr="002C30D6">
        <w:rPr>
          <w:rFonts w:eastAsia="PalladioLOT-Roman" w:cs="PalladioLOT-Roman"/>
          <w:b/>
          <w:color w:val="auto"/>
          <w:sz w:val="24"/>
          <w:szCs w:val="24"/>
          <w:lang w:val="en-GB"/>
        </w:rPr>
        <w:t>the</w:t>
      </w:r>
      <w:r w:rsidRPr="002C30D6">
        <w:rPr>
          <w:rFonts w:eastAsia="PalladioLOT-Roman" w:cs="PalladioLOT-Roman"/>
          <w:color w:val="auto"/>
          <w:sz w:val="24"/>
          <w:szCs w:val="24"/>
          <w:lang w:val="en-GB"/>
        </w:rPr>
        <w:t xml:space="preserve"> </w:t>
      </w:r>
      <w:r w:rsidRPr="002C30D6">
        <w:rPr>
          <w:rFonts w:eastAsia="PalladioLOT-Roman" w:cs="PalladioLOT-Roman"/>
          <w:b/>
          <w:color w:val="auto"/>
          <w:sz w:val="24"/>
          <w:szCs w:val="24"/>
          <w:lang w:val="en-GB"/>
        </w:rPr>
        <w:t>elderly are becoming increasingly deprived</w:t>
      </w:r>
      <w:r w:rsidRPr="002C30D6">
        <w:rPr>
          <w:rFonts w:eastAsia="PalladioLOT-Roman" w:cs="PalladioLOT-Roman"/>
          <w:color w:val="auto"/>
          <w:sz w:val="24"/>
          <w:szCs w:val="24"/>
          <w:lang w:val="en-GB"/>
        </w:rPr>
        <w:t xml:space="preserve">. </w:t>
      </w:r>
      <w:r w:rsidRPr="002C30D6">
        <w:rPr>
          <w:rFonts w:eastAsia="Times New Roman" w:cs="Times New Roman"/>
          <w:color w:val="auto"/>
          <w:sz w:val="24"/>
          <w:szCs w:val="24"/>
          <w:lang w:val="en-GB" w:eastAsia="sl-SI"/>
        </w:rPr>
        <w:t xml:space="preserve">This corresponds to the findings of greater financial and material vulnerability of the elderly and the higher at-risk-of-poverty rate of the elderly in Slovenia – which is </w:t>
      </w:r>
      <w:r w:rsidRPr="002C30D6">
        <w:rPr>
          <w:color w:val="auto"/>
          <w:sz w:val="24"/>
          <w:szCs w:val="24"/>
          <w:lang w:val="en-GB"/>
        </w:rPr>
        <w:t>twice as high as that of the general population</w:t>
      </w:r>
      <w:r w:rsidRPr="002C30D6">
        <w:rPr>
          <w:rFonts w:eastAsia="Times New Roman" w:cs="Times New Roman"/>
          <w:color w:val="auto"/>
          <w:sz w:val="24"/>
          <w:szCs w:val="24"/>
          <w:lang w:val="en-GB" w:eastAsia="sl-SI"/>
        </w:rPr>
        <w:t xml:space="preserve"> (</w:t>
      </w:r>
      <w:proofErr w:type="spellStart"/>
      <w:r w:rsidR="00615F0A" w:rsidRPr="002C30D6">
        <w:rPr>
          <w:rFonts w:eastAsia="Times New Roman" w:cs="Times New Roman"/>
          <w:color w:val="auto"/>
          <w:sz w:val="24"/>
          <w:szCs w:val="24"/>
          <w:lang w:val="en-GB" w:eastAsia="sl-SI"/>
        </w:rPr>
        <w:t>Hlebec</w:t>
      </w:r>
      <w:proofErr w:type="spellEnd"/>
      <w:r w:rsidR="00615F0A" w:rsidRPr="002C30D6">
        <w:rPr>
          <w:rFonts w:eastAsia="Times New Roman" w:cs="Times New Roman"/>
          <w:color w:val="auto"/>
          <w:sz w:val="24"/>
          <w:szCs w:val="24"/>
          <w:lang w:val="en-GB" w:eastAsia="sl-SI"/>
        </w:rPr>
        <w:t xml:space="preserve">, Mali and </w:t>
      </w:r>
      <w:proofErr w:type="spellStart"/>
      <w:r w:rsidR="00615F0A" w:rsidRPr="002C30D6">
        <w:rPr>
          <w:rFonts w:eastAsia="Times New Roman" w:cs="Times New Roman"/>
          <w:color w:val="auto"/>
          <w:sz w:val="24"/>
          <w:szCs w:val="24"/>
          <w:lang w:val="en-GB" w:eastAsia="sl-SI"/>
        </w:rPr>
        <w:t>Filipovič</w:t>
      </w:r>
      <w:proofErr w:type="spellEnd"/>
      <w:r w:rsidR="00615F0A" w:rsidRPr="002C30D6">
        <w:rPr>
          <w:rFonts w:eastAsia="Times New Roman" w:cs="Times New Roman"/>
          <w:color w:val="auto"/>
          <w:sz w:val="24"/>
          <w:szCs w:val="24"/>
          <w:lang w:val="en-GB" w:eastAsia="sl-SI"/>
        </w:rPr>
        <w:t xml:space="preserve"> </w:t>
      </w:r>
      <w:proofErr w:type="spellStart"/>
      <w:r w:rsidR="00615F0A" w:rsidRPr="002C30D6">
        <w:rPr>
          <w:rFonts w:eastAsia="Times New Roman" w:cs="Times New Roman"/>
          <w:color w:val="auto"/>
          <w:sz w:val="24"/>
          <w:szCs w:val="24"/>
          <w:lang w:val="en-GB" w:eastAsia="sl-SI"/>
        </w:rPr>
        <w:t>Hrast</w:t>
      </w:r>
      <w:proofErr w:type="spellEnd"/>
      <w:r w:rsidR="00615F0A" w:rsidRPr="002C30D6">
        <w:rPr>
          <w:color w:val="auto"/>
          <w:sz w:val="24"/>
          <w:szCs w:val="24"/>
          <w:lang w:val="en-GB"/>
        </w:rPr>
        <w:t>, 2014</w:t>
      </w:r>
      <w:r w:rsidRPr="002C30D6">
        <w:rPr>
          <w:color w:val="auto"/>
          <w:sz w:val="24"/>
          <w:szCs w:val="24"/>
          <w:lang w:val="en-GB"/>
        </w:rPr>
        <w:t xml:space="preserve">; </w:t>
      </w:r>
      <w:proofErr w:type="spellStart"/>
      <w:r w:rsidRPr="002C30D6">
        <w:rPr>
          <w:rFonts w:eastAsia="Times New Roman" w:cs="Times New Roman"/>
          <w:color w:val="auto"/>
          <w:sz w:val="24"/>
          <w:szCs w:val="24"/>
          <w:lang w:val="en-GB" w:eastAsia="sl-SI"/>
        </w:rPr>
        <w:t>Stropnik</w:t>
      </w:r>
      <w:proofErr w:type="spellEnd"/>
      <w:r w:rsidRPr="002C30D6">
        <w:rPr>
          <w:rFonts w:eastAsia="Times New Roman" w:cs="Times New Roman"/>
          <w:color w:val="auto"/>
          <w:sz w:val="24"/>
          <w:szCs w:val="24"/>
          <w:lang w:val="en-GB" w:eastAsia="sl-SI"/>
        </w:rPr>
        <w:t xml:space="preserve"> and </w:t>
      </w:r>
      <w:proofErr w:type="spellStart"/>
      <w:r w:rsidRPr="002C30D6">
        <w:rPr>
          <w:rFonts w:eastAsia="Times New Roman" w:cs="Times New Roman"/>
          <w:color w:val="auto"/>
          <w:sz w:val="24"/>
          <w:szCs w:val="24"/>
          <w:lang w:val="en-GB" w:eastAsia="sl-SI"/>
        </w:rPr>
        <w:t>Kump</w:t>
      </w:r>
      <w:proofErr w:type="spellEnd"/>
      <w:r w:rsidRPr="002C30D6">
        <w:rPr>
          <w:rFonts w:eastAsia="Times New Roman" w:cs="Times New Roman"/>
          <w:color w:val="auto"/>
          <w:sz w:val="24"/>
          <w:szCs w:val="24"/>
          <w:lang w:val="en-GB" w:eastAsia="sl-SI"/>
        </w:rPr>
        <w:t xml:space="preserve">, 2008; </w:t>
      </w:r>
      <w:proofErr w:type="spellStart"/>
      <w:r w:rsidRPr="002C30D6">
        <w:rPr>
          <w:rFonts w:eastAsia="Times New Roman" w:cs="Times New Roman"/>
          <w:color w:val="auto"/>
          <w:sz w:val="24"/>
          <w:szCs w:val="24"/>
          <w:lang w:val="en-GB" w:eastAsia="sl-SI"/>
        </w:rPr>
        <w:t>Stropnik</w:t>
      </w:r>
      <w:proofErr w:type="spellEnd"/>
      <w:r w:rsidRPr="002C30D6">
        <w:rPr>
          <w:rFonts w:eastAsia="Times New Roman" w:cs="Times New Roman"/>
          <w:color w:val="auto"/>
          <w:sz w:val="24"/>
          <w:szCs w:val="24"/>
          <w:lang w:val="en-GB" w:eastAsia="sl-SI"/>
        </w:rPr>
        <w:t xml:space="preserve"> et al., 2010; </w:t>
      </w:r>
      <w:proofErr w:type="spellStart"/>
      <w:r w:rsidRPr="002C30D6">
        <w:rPr>
          <w:rFonts w:eastAsia="Times New Roman" w:cs="Times New Roman"/>
          <w:color w:val="auto"/>
          <w:sz w:val="24"/>
          <w:szCs w:val="24"/>
          <w:lang w:val="en-GB" w:eastAsia="sl-SI"/>
        </w:rPr>
        <w:t>Filipovič</w:t>
      </w:r>
      <w:proofErr w:type="spellEnd"/>
      <w:r w:rsidRPr="002C30D6">
        <w:rPr>
          <w:rFonts w:eastAsia="Times New Roman" w:cs="Times New Roman"/>
          <w:color w:val="auto"/>
          <w:sz w:val="24"/>
          <w:szCs w:val="24"/>
          <w:lang w:val="en-GB" w:eastAsia="sl-SI"/>
        </w:rPr>
        <w:t xml:space="preserve"> </w:t>
      </w:r>
      <w:proofErr w:type="spellStart"/>
      <w:r w:rsidRPr="002C30D6">
        <w:rPr>
          <w:rFonts w:eastAsia="Times New Roman" w:cs="Times New Roman"/>
          <w:color w:val="auto"/>
          <w:sz w:val="24"/>
          <w:szCs w:val="24"/>
          <w:lang w:val="en-GB" w:eastAsia="sl-SI"/>
        </w:rPr>
        <w:t>Hrast</w:t>
      </w:r>
      <w:proofErr w:type="spellEnd"/>
      <w:r w:rsidRPr="002C30D6">
        <w:rPr>
          <w:rFonts w:eastAsia="Times New Roman" w:cs="Times New Roman"/>
          <w:color w:val="auto"/>
          <w:sz w:val="24"/>
          <w:szCs w:val="24"/>
          <w:lang w:val="en-GB" w:eastAsia="sl-SI"/>
        </w:rPr>
        <w:t xml:space="preserve">, </w:t>
      </w:r>
      <w:proofErr w:type="spellStart"/>
      <w:r w:rsidRPr="002C30D6">
        <w:rPr>
          <w:rFonts w:eastAsia="Times New Roman" w:cs="Times New Roman"/>
          <w:color w:val="auto"/>
          <w:sz w:val="24"/>
          <w:szCs w:val="24"/>
          <w:lang w:val="en-GB" w:eastAsia="sl-SI"/>
        </w:rPr>
        <w:t>Hlebec</w:t>
      </w:r>
      <w:proofErr w:type="spellEnd"/>
      <w:r w:rsidRPr="002C30D6">
        <w:rPr>
          <w:rFonts w:eastAsia="Times New Roman" w:cs="Times New Roman"/>
          <w:color w:val="auto"/>
          <w:sz w:val="24"/>
          <w:szCs w:val="24"/>
          <w:lang w:val="en-GB" w:eastAsia="sl-SI"/>
        </w:rPr>
        <w:t xml:space="preserve"> and </w:t>
      </w:r>
      <w:proofErr w:type="spellStart"/>
      <w:r w:rsidRPr="002C30D6">
        <w:rPr>
          <w:rFonts w:eastAsia="Times New Roman" w:cs="Times New Roman"/>
          <w:color w:val="auto"/>
          <w:sz w:val="24"/>
          <w:szCs w:val="24"/>
          <w:lang w:val="en-GB" w:eastAsia="sl-SI"/>
        </w:rPr>
        <w:t>Kavčič</w:t>
      </w:r>
      <w:proofErr w:type="spellEnd"/>
      <w:r w:rsidRPr="002C30D6">
        <w:rPr>
          <w:rFonts w:eastAsia="Times New Roman" w:cs="Times New Roman"/>
          <w:color w:val="auto"/>
          <w:sz w:val="24"/>
          <w:szCs w:val="24"/>
          <w:lang w:val="en-GB" w:eastAsia="sl-SI"/>
        </w:rPr>
        <w:t>, 2012; SURS, 201</w:t>
      </w:r>
      <w:r w:rsidR="006B1DCE" w:rsidRPr="002C30D6">
        <w:rPr>
          <w:rFonts w:eastAsia="Times New Roman" w:cs="Times New Roman"/>
          <w:color w:val="auto"/>
          <w:sz w:val="24"/>
          <w:szCs w:val="24"/>
          <w:lang w:val="en-GB" w:eastAsia="sl-SI"/>
        </w:rPr>
        <w:t>8</w:t>
      </w:r>
      <w:r w:rsidRPr="002C30D6">
        <w:rPr>
          <w:rFonts w:eastAsia="Times New Roman" w:cs="Times New Roman"/>
          <w:color w:val="auto"/>
          <w:sz w:val="24"/>
          <w:szCs w:val="24"/>
          <w:lang w:val="en-GB" w:eastAsia="sl-SI"/>
        </w:rPr>
        <w:t>).</w:t>
      </w:r>
    </w:p>
    <w:p w:rsidR="00930AD7" w:rsidRPr="002C30D6" w:rsidRDefault="00930AD7" w:rsidP="00930AD7">
      <w:pPr>
        <w:spacing w:after="120" w:line="276" w:lineRule="auto"/>
        <w:jc w:val="both"/>
        <w:rPr>
          <w:rFonts w:eastAsia="Times New Roman" w:cs="Times New Roman"/>
          <w:color w:val="auto"/>
          <w:sz w:val="24"/>
          <w:szCs w:val="24"/>
          <w:lang w:val="en-GB" w:eastAsia="sl-SI"/>
        </w:rPr>
      </w:pPr>
      <w:r w:rsidRPr="002C30D6">
        <w:rPr>
          <w:bCs/>
          <w:iCs/>
          <w:color w:val="auto"/>
          <w:sz w:val="24"/>
          <w:szCs w:val="24"/>
          <w:lang w:val="en-GB"/>
        </w:rPr>
        <w:t xml:space="preserve">According to the demographic projections, the process of population ageing will be more intense in Slovenia than in other EU countries (IMAD, 2018). </w:t>
      </w:r>
      <w:r w:rsidRPr="002C30D6">
        <w:rPr>
          <w:rFonts w:eastAsia="Times New Roman" w:cs="Arial"/>
          <w:color w:val="auto"/>
          <w:sz w:val="24"/>
          <w:szCs w:val="24"/>
          <w:lang w:val="en-GB" w:eastAsia="sl-SI"/>
        </w:rPr>
        <w:t>Slovenia is expected to have 20.6% of population older than 65 years and 5.5% of population older than 80 years by 2020 and the percentage will increase significantly by 2050 (29.9% for 65+ and 11.1% for 80+) (Eurostat, 2017</w:t>
      </w:r>
      <w:r w:rsidR="00D42D1D" w:rsidRPr="002C30D6">
        <w:rPr>
          <w:rFonts w:eastAsia="Times New Roman" w:cs="Arial"/>
          <w:color w:val="auto"/>
          <w:sz w:val="24"/>
          <w:szCs w:val="24"/>
          <w:lang w:val="en-GB" w:eastAsia="sl-SI"/>
        </w:rPr>
        <w:t xml:space="preserve">; </w:t>
      </w:r>
      <w:r w:rsidR="006A14D5" w:rsidRPr="002C30D6">
        <w:rPr>
          <w:rFonts w:eastAsia="Times New Roman" w:cs="Arial"/>
          <w:color w:val="auto"/>
          <w:sz w:val="24"/>
          <w:szCs w:val="24"/>
          <w:lang w:val="en-GB" w:eastAsia="sl-SI"/>
        </w:rPr>
        <w:t>Wolfgang</w:t>
      </w:r>
      <w:r w:rsidR="00D42D1D" w:rsidRPr="002C30D6">
        <w:rPr>
          <w:rFonts w:eastAsia="Times New Roman" w:cs="Arial"/>
          <w:color w:val="auto"/>
          <w:sz w:val="24"/>
          <w:szCs w:val="24"/>
          <w:lang w:val="en-GB" w:eastAsia="sl-SI"/>
        </w:rPr>
        <w:t xml:space="preserve"> et al., 2018</w:t>
      </w:r>
      <w:r w:rsidRPr="002C30D6">
        <w:rPr>
          <w:rFonts w:eastAsia="Times New Roman" w:cs="Arial"/>
          <w:color w:val="auto"/>
          <w:sz w:val="24"/>
          <w:szCs w:val="24"/>
          <w:lang w:val="en-GB" w:eastAsia="sl-SI"/>
        </w:rPr>
        <w:t>). Today, e</w:t>
      </w:r>
      <w:r w:rsidRPr="002C30D6">
        <w:rPr>
          <w:color w:val="auto"/>
          <w:sz w:val="24"/>
          <w:szCs w:val="24"/>
          <w:lang w:val="en-GB"/>
        </w:rPr>
        <w:t>ach new-born boy can expect to live 77.96 years, or six years less than a new-born girl, who can expect to live 83.86 years (S</w:t>
      </w:r>
      <w:r w:rsidR="006A14D5" w:rsidRPr="002C30D6">
        <w:rPr>
          <w:color w:val="auto"/>
          <w:sz w:val="24"/>
          <w:szCs w:val="24"/>
          <w:lang w:val="en-GB"/>
        </w:rPr>
        <w:t>URS, 2018</w:t>
      </w:r>
      <w:r w:rsidRPr="002C30D6">
        <w:rPr>
          <w:color w:val="auto"/>
          <w:sz w:val="24"/>
          <w:szCs w:val="24"/>
          <w:lang w:val="en-GB"/>
        </w:rPr>
        <w:t xml:space="preserve">). Longevity also differs among regions: in the east of Slovenia men die on average three years earlier and women two years earlier than in the west. </w:t>
      </w:r>
      <w:r w:rsidRPr="002C30D6">
        <w:rPr>
          <w:rFonts w:eastAsia="Times New Roman" w:cs="Times New Roman"/>
          <w:color w:val="auto"/>
          <w:sz w:val="24"/>
          <w:szCs w:val="24"/>
          <w:lang w:val="en-GB" w:eastAsia="sl-SI"/>
        </w:rPr>
        <w:t>This also corresponds to the prior findings on polarisation between eastern and western Slovenia regarding health indicators and other quality of life indicators including</w:t>
      </w:r>
      <w:r w:rsidRPr="002C30D6">
        <w:rPr>
          <w:color w:val="auto"/>
          <w:sz w:val="24"/>
          <w:szCs w:val="24"/>
          <w:lang w:val="en-GB"/>
        </w:rPr>
        <w:t xml:space="preserve"> </w:t>
      </w:r>
      <w:r w:rsidRPr="002C30D6">
        <w:rPr>
          <w:rFonts w:eastAsia="Times New Roman" w:cs="Times New Roman"/>
          <w:color w:val="auto"/>
          <w:sz w:val="24"/>
          <w:szCs w:val="24"/>
          <w:lang w:val="en-GB" w:eastAsia="sl-SI"/>
        </w:rPr>
        <w:t xml:space="preserve">happiness, financial satisfaction, general satisfaction with life etc., where </w:t>
      </w:r>
      <w:proofErr w:type="spellStart"/>
      <w:r w:rsidRPr="002C30D6">
        <w:rPr>
          <w:rFonts w:eastAsia="Times New Roman" w:cs="Times New Roman"/>
          <w:color w:val="auto"/>
          <w:sz w:val="24"/>
          <w:szCs w:val="24"/>
          <w:lang w:val="en-GB" w:eastAsia="sl-SI"/>
        </w:rPr>
        <w:t>Goriška</w:t>
      </w:r>
      <w:proofErr w:type="spellEnd"/>
      <w:r w:rsidRPr="002C30D6">
        <w:rPr>
          <w:rFonts w:eastAsia="Times New Roman" w:cs="Times New Roman"/>
          <w:color w:val="auto"/>
          <w:sz w:val="24"/>
          <w:szCs w:val="24"/>
          <w:lang w:val="en-GB" w:eastAsia="sl-SI"/>
        </w:rPr>
        <w:t xml:space="preserve"> and </w:t>
      </w:r>
      <w:proofErr w:type="spellStart"/>
      <w:r w:rsidRPr="002C30D6">
        <w:rPr>
          <w:rFonts w:eastAsia="Times New Roman" w:cs="Times New Roman"/>
          <w:color w:val="auto"/>
          <w:sz w:val="24"/>
          <w:szCs w:val="24"/>
          <w:lang w:val="en-GB" w:eastAsia="sl-SI"/>
        </w:rPr>
        <w:t>Obalno-Kraška</w:t>
      </w:r>
      <w:proofErr w:type="spellEnd"/>
      <w:r w:rsidRPr="002C30D6">
        <w:rPr>
          <w:rFonts w:eastAsia="Times New Roman" w:cs="Times New Roman"/>
          <w:color w:val="auto"/>
          <w:sz w:val="24"/>
          <w:szCs w:val="24"/>
          <w:lang w:val="en-GB" w:eastAsia="sl-SI"/>
        </w:rPr>
        <w:t xml:space="preserve"> region has had the highest rates and </w:t>
      </w:r>
      <w:proofErr w:type="spellStart"/>
      <w:r w:rsidRPr="002C30D6">
        <w:rPr>
          <w:rFonts w:eastAsia="Times New Roman" w:cs="Times New Roman"/>
          <w:color w:val="auto"/>
          <w:sz w:val="24"/>
          <w:szCs w:val="24"/>
          <w:lang w:val="en-GB" w:eastAsia="sl-SI"/>
        </w:rPr>
        <w:t>Posavska</w:t>
      </w:r>
      <w:proofErr w:type="spellEnd"/>
      <w:r w:rsidRPr="002C30D6">
        <w:rPr>
          <w:rFonts w:eastAsia="Times New Roman" w:cs="Times New Roman"/>
          <w:color w:val="auto"/>
          <w:sz w:val="24"/>
          <w:szCs w:val="24"/>
          <w:lang w:val="en-GB" w:eastAsia="sl-SI"/>
        </w:rPr>
        <w:t xml:space="preserve"> and </w:t>
      </w:r>
      <w:proofErr w:type="spellStart"/>
      <w:r w:rsidRPr="002C30D6">
        <w:rPr>
          <w:rFonts w:eastAsia="Times New Roman" w:cs="Times New Roman"/>
          <w:color w:val="auto"/>
          <w:sz w:val="24"/>
          <w:szCs w:val="24"/>
          <w:lang w:val="en-GB" w:eastAsia="sl-SI"/>
        </w:rPr>
        <w:t>Pomurska</w:t>
      </w:r>
      <w:proofErr w:type="spellEnd"/>
      <w:r w:rsidRPr="002C30D6">
        <w:rPr>
          <w:rFonts w:eastAsia="Times New Roman" w:cs="Times New Roman"/>
          <w:color w:val="auto"/>
          <w:sz w:val="24"/>
          <w:szCs w:val="24"/>
          <w:lang w:val="en-GB" w:eastAsia="sl-SI"/>
        </w:rPr>
        <w:t xml:space="preserve"> region the lowest (</w:t>
      </w:r>
      <w:proofErr w:type="spellStart"/>
      <w:r w:rsidRPr="002C30D6">
        <w:rPr>
          <w:rFonts w:eastAsia="Times New Roman" w:cs="Times New Roman"/>
          <w:color w:val="auto"/>
          <w:sz w:val="24"/>
          <w:szCs w:val="24"/>
          <w:lang w:val="en-GB" w:eastAsia="sl-SI"/>
        </w:rPr>
        <w:t>Gregorčič</w:t>
      </w:r>
      <w:proofErr w:type="spellEnd"/>
      <w:r w:rsidRPr="002C30D6">
        <w:rPr>
          <w:rFonts w:eastAsia="Times New Roman" w:cs="Times New Roman"/>
          <w:color w:val="auto"/>
          <w:sz w:val="24"/>
          <w:szCs w:val="24"/>
          <w:lang w:val="en-GB" w:eastAsia="sl-SI"/>
        </w:rPr>
        <w:t xml:space="preserve"> and </w:t>
      </w:r>
      <w:proofErr w:type="spellStart"/>
      <w:r w:rsidRPr="002C30D6">
        <w:rPr>
          <w:rFonts w:eastAsia="Times New Roman" w:cs="Times New Roman"/>
          <w:color w:val="auto"/>
          <w:sz w:val="24"/>
          <w:szCs w:val="24"/>
          <w:lang w:val="en-GB" w:eastAsia="sl-SI"/>
        </w:rPr>
        <w:t>Hanžek</w:t>
      </w:r>
      <w:proofErr w:type="spellEnd"/>
      <w:r w:rsidRPr="002C30D6">
        <w:rPr>
          <w:rFonts w:eastAsia="Times New Roman" w:cs="Times New Roman"/>
          <w:color w:val="auto"/>
          <w:sz w:val="24"/>
          <w:szCs w:val="24"/>
          <w:lang w:val="en-GB" w:eastAsia="sl-SI"/>
        </w:rPr>
        <w:t xml:space="preserve">, 2001). </w:t>
      </w:r>
    </w:p>
    <w:p w:rsidR="00930AD7" w:rsidRPr="002C30D6" w:rsidRDefault="00930AD7" w:rsidP="00930AD7">
      <w:pPr>
        <w:spacing w:after="120" w:line="276" w:lineRule="auto"/>
        <w:jc w:val="both"/>
        <w:rPr>
          <w:rStyle w:val="shorttext"/>
          <w:color w:val="auto"/>
          <w:sz w:val="24"/>
          <w:szCs w:val="24"/>
          <w:lang w:val="en-GB"/>
        </w:rPr>
      </w:pPr>
      <w:r w:rsidRPr="002C30D6">
        <w:rPr>
          <w:rStyle w:val="tw4winMark"/>
          <w:color w:val="auto"/>
          <w:sz w:val="24"/>
          <w:szCs w:val="24"/>
          <w:lang w:val="en-GB"/>
        </w:rPr>
        <w:t>&lt;0}</w:t>
      </w:r>
      <w:r w:rsidRPr="002C30D6">
        <w:rPr>
          <w:color w:val="auto"/>
          <w:sz w:val="24"/>
          <w:szCs w:val="24"/>
          <w:lang w:val="en-GB"/>
        </w:rPr>
        <w:t>Among 2.062.874 inhabitants of Slovenia, there are 18.9% older than 65 years and one quarter of them face the risk of poverty. Among the 287,000 persons below the at-risk-of-poverty threshold in Slovenia, 78,000 were retired (15.9% of all retired persons), 55,000 of them women and 23,000 men (</w:t>
      </w:r>
      <w:r w:rsidR="00766CAB" w:rsidRPr="002C30D6">
        <w:rPr>
          <w:color w:val="auto"/>
          <w:sz w:val="24"/>
          <w:szCs w:val="24"/>
          <w:lang w:val="en-GB"/>
        </w:rPr>
        <w:t>SURS, 2018</w:t>
      </w:r>
      <w:r w:rsidRPr="002C30D6">
        <w:rPr>
          <w:color w:val="auto"/>
          <w:sz w:val="24"/>
          <w:szCs w:val="24"/>
          <w:lang w:val="en-GB"/>
        </w:rPr>
        <w:t>). The</w:t>
      </w:r>
      <w:r w:rsidRPr="002C30D6">
        <w:rPr>
          <w:b/>
          <w:bCs/>
          <w:i/>
          <w:iCs/>
          <w:color w:val="auto"/>
          <w:sz w:val="24"/>
          <w:szCs w:val="24"/>
          <w:lang w:val="en-GB"/>
        </w:rPr>
        <w:t xml:space="preserve"> </w:t>
      </w:r>
      <w:r w:rsidRPr="002C30D6">
        <w:rPr>
          <w:bCs/>
          <w:iCs/>
          <w:color w:val="auto"/>
          <w:sz w:val="24"/>
          <w:szCs w:val="24"/>
          <w:lang w:val="en-GB"/>
        </w:rPr>
        <w:t>prevalence of social exclusion among the elderly in Slovenia is abov</w:t>
      </w:r>
      <w:r w:rsidR="00786A7D" w:rsidRPr="002C30D6">
        <w:rPr>
          <w:bCs/>
          <w:iCs/>
          <w:color w:val="auto"/>
          <w:sz w:val="24"/>
          <w:szCs w:val="24"/>
          <w:lang w:val="en-GB"/>
        </w:rPr>
        <w:t>e the EU average (Eurostat, 2018</w:t>
      </w:r>
      <w:r w:rsidR="00CA5EFF" w:rsidRPr="002C30D6">
        <w:rPr>
          <w:bCs/>
          <w:iCs/>
          <w:color w:val="auto"/>
          <w:sz w:val="24"/>
          <w:szCs w:val="24"/>
          <w:lang w:val="en-GB"/>
        </w:rPr>
        <w:t>;</w:t>
      </w:r>
      <w:r w:rsidRPr="002C30D6">
        <w:rPr>
          <w:bCs/>
          <w:iCs/>
          <w:color w:val="auto"/>
          <w:sz w:val="24"/>
          <w:szCs w:val="24"/>
          <w:lang w:val="en-GB"/>
        </w:rPr>
        <w:t xml:space="preserve"> SHARE study). The most problematic exclusion is spatial exclusion, since a</w:t>
      </w:r>
      <w:r w:rsidRPr="002C30D6">
        <w:rPr>
          <w:rFonts w:eastAsia="Times New Roman" w:cs="Times New Roman"/>
          <w:color w:val="auto"/>
          <w:sz w:val="24"/>
          <w:szCs w:val="24"/>
          <w:lang w:val="en-GB" w:eastAsia="sl-SI"/>
        </w:rPr>
        <w:t>lmost half of the elderly in Slovenia do not have access to basic services in their local environment; this is higher than the population average and much higher than the averages for the EU-28 and even non-EU-12 member states (</w:t>
      </w:r>
      <w:proofErr w:type="spellStart"/>
      <w:r w:rsidRPr="002C30D6">
        <w:rPr>
          <w:rFonts w:eastAsia="Times New Roman" w:cs="Times New Roman"/>
          <w:color w:val="auto"/>
          <w:sz w:val="24"/>
          <w:szCs w:val="24"/>
          <w:lang w:val="en-GB" w:eastAsia="sl-SI"/>
        </w:rPr>
        <w:t>Filipovič</w:t>
      </w:r>
      <w:proofErr w:type="spellEnd"/>
      <w:r w:rsidRPr="002C30D6">
        <w:rPr>
          <w:rFonts w:eastAsia="Times New Roman" w:cs="Times New Roman"/>
          <w:color w:val="auto"/>
          <w:sz w:val="24"/>
          <w:szCs w:val="24"/>
          <w:lang w:val="en-GB" w:eastAsia="sl-SI"/>
        </w:rPr>
        <w:t xml:space="preserve"> </w:t>
      </w:r>
      <w:proofErr w:type="spellStart"/>
      <w:r w:rsidRPr="002C30D6">
        <w:rPr>
          <w:rFonts w:eastAsia="Times New Roman" w:cs="Times New Roman"/>
          <w:color w:val="auto"/>
          <w:sz w:val="24"/>
          <w:szCs w:val="24"/>
          <w:lang w:val="en-GB" w:eastAsia="sl-SI"/>
        </w:rPr>
        <w:t>Hrast</w:t>
      </w:r>
      <w:proofErr w:type="spellEnd"/>
      <w:r w:rsidRPr="002C30D6">
        <w:rPr>
          <w:rFonts w:eastAsia="Times New Roman" w:cs="Times New Roman"/>
          <w:color w:val="auto"/>
          <w:sz w:val="24"/>
          <w:szCs w:val="24"/>
          <w:lang w:val="en-GB" w:eastAsia="sl-SI"/>
        </w:rPr>
        <w:t xml:space="preserve">, </w:t>
      </w:r>
      <w:proofErr w:type="spellStart"/>
      <w:r w:rsidRPr="002C30D6">
        <w:rPr>
          <w:rFonts w:eastAsia="Times New Roman" w:cs="Times New Roman"/>
          <w:color w:val="auto"/>
          <w:sz w:val="24"/>
          <w:szCs w:val="24"/>
          <w:lang w:val="en-GB" w:eastAsia="sl-SI"/>
        </w:rPr>
        <w:t>Hlebec</w:t>
      </w:r>
      <w:proofErr w:type="spellEnd"/>
      <w:r w:rsidRPr="002C30D6">
        <w:rPr>
          <w:rFonts w:eastAsia="Times New Roman" w:cs="Times New Roman"/>
          <w:color w:val="auto"/>
          <w:sz w:val="24"/>
          <w:szCs w:val="24"/>
          <w:lang w:val="en-GB" w:eastAsia="sl-SI"/>
        </w:rPr>
        <w:t xml:space="preserve"> and </w:t>
      </w:r>
      <w:proofErr w:type="spellStart"/>
      <w:r w:rsidRPr="002C30D6">
        <w:rPr>
          <w:rFonts w:eastAsia="Times New Roman" w:cs="Times New Roman"/>
          <w:color w:val="auto"/>
          <w:sz w:val="24"/>
          <w:szCs w:val="24"/>
          <w:lang w:val="en-GB" w:eastAsia="sl-SI"/>
        </w:rPr>
        <w:t>Kavčič</w:t>
      </w:r>
      <w:proofErr w:type="spellEnd"/>
      <w:r w:rsidRPr="002C30D6">
        <w:rPr>
          <w:rFonts w:eastAsia="Times New Roman" w:cs="Times New Roman"/>
          <w:color w:val="auto"/>
          <w:sz w:val="24"/>
          <w:szCs w:val="24"/>
          <w:lang w:val="en-GB" w:eastAsia="sl-SI"/>
        </w:rPr>
        <w:t xml:space="preserve">, 2012). </w:t>
      </w:r>
      <w:r w:rsidRPr="002C30D6">
        <w:rPr>
          <w:rStyle w:val="shorttext"/>
          <w:color w:val="auto"/>
          <w:sz w:val="24"/>
          <w:szCs w:val="24"/>
          <w:lang w:val="en-GB"/>
        </w:rPr>
        <w:t xml:space="preserve">According to the Active Ageing Index (AAI), Slovenia ranks among the bottom-ranked EU-28 countries (with Poland, Greece, Slovakia, Hungary, Bulgaria and Romania) and the ranking is even declining (from 20th in 2012 to 23rd in the 2014) (UNECE &amp; EU, 2014). Slovenia also has the </w:t>
      </w:r>
      <w:r w:rsidRPr="002C30D6">
        <w:rPr>
          <w:rFonts w:cs="TisaSansPro"/>
          <w:color w:val="auto"/>
          <w:sz w:val="24"/>
          <w:szCs w:val="24"/>
          <w:lang w:val="en-GB"/>
        </w:rPr>
        <w:t>lowest employment rate among the older population (55-64) by</w:t>
      </w:r>
      <w:r w:rsidR="00786A7D" w:rsidRPr="002C30D6">
        <w:rPr>
          <w:rFonts w:cs="TisaSansPro"/>
          <w:color w:val="auto"/>
          <w:sz w:val="24"/>
          <w:szCs w:val="24"/>
          <w:lang w:val="en-GB"/>
        </w:rPr>
        <w:t xml:space="preserve"> all EU member states (UNECE </w:t>
      </w:r>
      <w:r w:rsidR="00786A7D" w:rsidRPr="002C30D6">
        <w:rPr>
          <w:rStyle w:val="shorttext"/>
          <w:color w:val="auto"/>
          <w:sz w:val="24"/>
          <w:szCs w:val="24"/>
          <w:lang w:val="en-GB"/>
        </w:rPr>
        <w:t>&amp;</w:t>
      </w:r>
      <w:r w:rsidRPr="002C30D6">
        <w:rPr>
          <w:rFonts w:cs="TisaSansPro"/>
          <w:color w:val="auto"/>
          <w:sz w:val="24"/>
          <w:szCs w:val="24"/>
          <w:lang w:val="en-GB"/>
        </w:rPr>
        <w:t xml:space="preserve"> EU, 2014; IMAD, 2018).</w:t>
      </w:r>
    </w:p>
    <w:p w:rsidR="00930AD7" w:rsidRPr="002C30D6" w:rsidRDefault="00930AD7" w:rsidP="00930AD7">
      <w:pPr>
        <w:pStyle w:val="bodytext"/>
        <w:spacing w:before="0" w:beforeAutospacing="0" w:after="120" w:afterAutospacing="0" w:line="276" w:lineRule="auto"/>
        <w:jc w:val="both"/>
        <w:rPr>
          <w:rFonts w:asciiTheme="minorHAnsi" w:hAnsiTheme="minorHAnsi" w:cs="TisaSansPro"/>
          <w:lang w:val="en-GB"/>
        </w:rPr>
      </w:pPr>
      <w:r w:rsidRPr="002C30D6">
        <w:rPr>
          <w:rFonts w:asciiTheme="minorHAnsi" w:eastAsia="PalladioLOT-Roman" w:hAnsiTheme="minorHAnsi" w:cs="PalladioLOT-Roman"/>
          <w:lang w:val="en-GB"/>
        </w:rPr>
        <w:lastRenderedPageBreak/>
        <w:t>A completely different reality is foreseen in national strategies: t</w:t>
      </w:r>
      <w:r w:rsidRPr="002C30D6">
        <w:rPr>
          <w:rFonts w:asciiTheme="minorHAnsi" w:hAnsiTheme="minorHAnsi"/>
          <w:lang w:val="en-GB"/>
        </w:rPr>
        <w:t xml:space="preserve">he primary objective of the </w:t>
      </w:r>
      <w:r w:rsidRPr="002C30D6">
        <w:rPr>
          <w:rFonts w:asciiTheme="minorHAnsi" w:hAnsiTheme="minorHAnsi"/>
          <w:b/>
          <w:lang w:val="en-GB"/>
        </w:rPr>
        <w:t>Slovenian Development Strategy 2030</w:t>
      </w:r>
      <w:r w:rsidRPr="002C30D6">
        <w:rPr>
          <w:rFonts w:asciiTheme="minorHAnsi" w:hAnsiTheme="minorHAnsi"/>
          <w:lang w:val="en-GB"/>
        </w:rPr>
        <w:t xml:space="preserve">, adopted in December 2017, is “Slovenia, a country with a high quality of life for all”. One of its five strategic orientations is “learning for and through life”. </w:t>
      </w:r>
      <w:r w:rsidRPr="002C30D6">
        <w:rPr>
          <w:rFonts w:asciiTheme="minorHAnsi" w:hAnsiTheme="minorHAnsi" w:cs="Arial"/>
          <w:lang w:val="en-GB"/>
        </w:rPr>
        <w:t>The</w:t>
      </w:r>
      <w:r w:rsidRPr="002C30D6">
        <w:rPr>
          <w:rFonts w:asciiTheme="minorHAnsi" w:hAnsiTheme="minorHAnsi" w:cs="Arial"/>
          <w:b/>
          <w:lang w:val="en-GB"/>
        </w:rPr>
        <w:t xml:space="preserve"> </w:t>
      </w:r>
      <w:r w:rsidRPr="002C30D6">
        <w:rPr>
          <w:rFonts w:asciiTheme="minorHAnsi" w:hAnsiTheme="minorHAnsi" w:cs="TisaSansPro"/>
          <w:b/>
          <w:lang w:val="en-GB"/>
        </w:rPr>
        <w:t>Active Ageing Strategy,</w:t>
      </w:r>
      <w:r w:rsidRPr="002C30D6">
        <w:rPr>
          <w:rFonts w:asciiTheme="minorHAnsi" w:hAnsiTheme="minorHAnsi" w:cs="TisaSansPro"/>
          <w:lang w:val="en-GB"/>
        </w:rPr>
        <w:t xml:space="preserve"> adopted in January 2018 (IMAD, 2018), advocates for ensuring sufficient labour supply by promoting extension and flexibility of employability, particularly for older people and youths, without acknowledging the particular needs and positions of these groups. Although it promotes active participation of all generations in economic and social life and political decision-making processes, this strategy is therefore less adjusted to the social, cultural and other democratic needs and capabilities of older people.</w:t>
      </w:r>
    </w:p>
    <w:p w:rsidR="00930AD7" w:rsidRDefault="00930AD7" w:rsidP="00930AD7">
      <w:pPr>
        <w:pStyle w:val="bodytext"/>
        <w:spacing w:before="0" w:beforeAutospacing="0" w:after="120" w:afterAutospacing="0" w:line="276" w:lineRule="auto"/>
        <w:jc w:val="both"/>
        <w:rPr>
          <w:rFonts w:asciiTheme="minorHAnsi" w:hAnsiTheme="minorHAnsi"/>
          <w:lang w:val="en-GB"/>
        </w:rPr>
      </w:pPr>
      <w:r w:rsidRPr="002C30D6">
        <w:rPr>
          <w:rFonts w:asciiTheme="minorHAnsi" w:hAnsiTheme="minorHAnsi" w:cs="TisaSansPro"/>
          <w:lang w:val="en-GB"/>
        </w:rPr>
        <w:t>As indicated, adult education (together with longevity and active aging) as a fundamental component of lifelong learning is ranked high among the priorities of Slovenian development strategies as well as the Resolution on the National Programme of Adul</w:t>
      </w:r>
      <w:r w:rsidR="003A31D0" w:rsidRPr="002C30D6">
        <w:rPr>
          <w:rFonts w:asciiTheme="minorHAnsi" w:hAnsiTheme="minorHAnsi" w:cs="TisaSansPro"/>
          <w:lang w:val="en-GB"/>
        </w:rPr>
        <w:t xml:space="preserve">t Education – </w:t>
      </w:r>
      <w:proofErr w:type="spellStart"/>
      <w:r w:rsidRPr="002C30D6">
        <w:rPr>
          <w:rFonts w:asciiTheme="minorHAnsi" w:hAnsiTheme="minorHAnsi" w:cs="TisaSansPro"/>
          <w:lang w:val="en-GB"/>
        </w:rPr>
        <w:t>ReNPIO</w:t>
      </w:r>
      <w:proofErr w:type="spellEnd"/>
      <w:r w:rsidRPr="002C30D6">
        <w:rPr>
          <w:rFonts w:asciiTheme="minorHAnsi" w:hAnsiTheme="minorHAnsi" w:cs="TisaSansPro"/>
          <w:lang w:val="en-GB"/>
        </w:rPr>
        <w:t>, 2013-2020</w:t>
      </w:r>
      <w:r w:rsidR="003A31D0" w:rsidRPr="002C30D6">
        <w:rPr>
          <w:rFonts w:asciiTheme="minorHAnsi" w:hAnsiTheme="minorHAnsi" w:cs="TisaSansPro"/>
          <w:lang w:val="en-GB"/>
        </w:rPr>
        <w:t xml:space="preserve"> (</w:t>
      </w:r>
      <w:proofErr w:type="spellStart"/>
      <w:r w:rsidR="003A31D0" w:rsidRPr="002C30D6">
        <w:rPr>
          <w:rFonts w:asciiTheme="minorHAnsi" w:hAnsiTheme="minorHAnsi" w:cs="TisaSansPro"/>
          <w:lang w:val="en-GB"/>
        </w:rPr>
        <w:t>ReNPIO</w:t>
      </w:r>
      <w:proofErr w:type="spellEnd"/>
      <w:r w:rsidR="003A31D0" w:rsidRPr="002C30D6">
        <w:rPr>
          <w:rFonts w:asciiTheme="minorHAnsi" w:hAnsiTheme="minorHAnsi" w:cs="TisaSansPro"/>
          <w:lang w:val="en-GB"/>
        </w:rPr>
        <w:t>, 2014</w:t>
      </w:r>
      <w:r w:rsidRPr="002C30D6">
        <w:rPr>
          <w:rFonts w:asciiTheme="minorHAnsi" w:hAnsiTheme="minorHAnsi" w:cs="TisaSansPro"/>
          <w:lang w:val="en-GB"/>
        </w:rPr>
        <w:t>), pursuing European policies and recommendations. However well addressed and aiming to promote inclusion, equality, participation, creativity, health, financial security</w:t>
      </w:r>
      <w:r w:rsidR="003A31D0" w:rsidRPr="002C30D6">
        <w:rPr>
          <w:rFonts w:asciiTheme="minorHAnsi" w:hAnsiTheme="minorHAnsi" w:cs="TisaSansPro"/>
          <w:lang w:val="en-GB"/>
        </w:rPr>
        <w:t>,</w:t>
      </w:r>
      <w:r w:rsidRPr="002C30D6">
        <w:rPr>
          <w:rFonts w:asciiTheme="minorHAnsi" w:hAnsiTheme="minorHAnsi" w:cs="TisaSansPro"/>
          <w:lang w:val="en-GB"/>
        </w:rPr>
        <w:t xml:space="preserve"> etc. throughout a person’s life course, significant </w:t>
      </w:r>
      <w:r w:rsidRPr="002C30D6">
        <w:rPr>
          <w:rStyle w:val="shorttext"/>
          <w:rFonts w:asciiTheme="minorHAnsi" w:eastAsiaTheme="majorEastAsia" w:hAnsiTheme="minorHAnsi"/>
          <w:lang w:val="en-GB"/>
        </w:rPr>
        <w:t xml:space="preserve">discrepancy between the actual state of the quality of life for older adults and the estimated and reachable development goals appears when applied to concrete statistic data, analyses and research findings. This can be seen in the unsuccessful implementation of the Lifelong learning strategy 2007 that has, among other things, identified the main areas and topics for change but remains unfulfilled (see </w:t>
      </w:r>
      <w:proofErr w:type="spellStart"/>
      <w:r w:rsidRPr="002C30D6">
        <w:rPr>
          <w:rStyle w:val="shorttext"/>
          <w:rFonts w:asciiTheme="minorHAnsi" w:eastAsiaTheme="majorEastAsia" w:hAnsiTheme="minorHAnsi"/>
          <w:lang w:val="en-GB"/>
        </w:rPr>
        <w:t>Jelenc</w:t>
      </w:r>
      <w:proofErr w:type="spellEnd"/>
      <w:r w:rsidRPr="002C30D6">
        <w:rPr>
          <w:rStyle w:val="shorttext"/>
          <w:rFonts w:asciiTheme="minorHAnsi" w:eastAsiaTheme="majorEastAsia" w:hAnsiTheme="minorHAnsi"/>
          <w:lang w:val="en-GB"/>
        </w:rPr>
        <w:t>, 2007). In</w:t>
      </w:r>
      <w:r w:rsidRPr="002C30D6">
        <w:rPr>
          <w:rFonts w:asciiTheme="minorHAnsi" w:hAnsiTheme="minorHAnsi"/>
          <w:lang w:val="en-GB"/>
        </w:rPr>
        <w:t xml:space="preserve"> Slovenia at present the participation rate in lifelong learning programmes drops faster with age than it does in the EU on average (IMAD, 2018). The gap between visions and operational objectives can also be seen in declining participation of adults in education (dropped from 16.2% in 2010 to 11.7% in 2015) and public funds which are allocate</w:t>
      </w:r>
      <w:r w:rsidR="003F5069" w:rsidRPr="002C30D6">
        <w:rPr>
          <w:rFonts w:asciiTheme="minorHAnsi" w:hAnsiTheme="minorHAnsi"/>
          <w:lang w:val="en-GB"/>
        </w:rPr>
        <w:t xml:space="preserve">d to adult education </w:t>
      </w:r>
      <w:r w:rsidRPr="002C30D6">
        <w:rPr>
          <w:rFonts w:asciiTheme="minorHAnsi" w:hAnsiTheme="minorHAnsi"/>
          <w:lang w:val="en-GB"/>
        </w:rPr>
        <w:t xml:space="preserve">dropped </w:t>
      </w:r>
      <w:r w:rsidR="003F5069" w:rsidRPr="002C30D6">
        <w:rPr>
          <w:rFonts w:asciiTheme="minorHAnsi" w:hAnsiTheme="minorHAnsi"/>
          <w:lang w:val="en-GB"/>
        </w:rPr>
        <w:t>(</w:t>
      </w:r>
      <w:r w:rsidRPr="002C30D6">
        <w:rPr>
          <w:rFonts w:asciiTheme="minorHAnsi" w:hAnsiTheme="minorHAnsi"/>
          <w:lang w:val="en-GB"/>
        </w:rPr>
        <w:t>from 56 to 24 million €</w:t>
      </w:r>
      <w:r w:rsidR="003F5069" w:rsidRPr="002C30D6">
        <w:rPr>
          <w:rFonts w:asciiTheme="minorHAnsi" w:hAnsiTheme="minorHAnsi"/>
          <w:lang w:val="en-GB"/>
        </w:rPr>
        <w:t>) over the same period</w:t>
      </w:r>
      <w:r w:rsidRPr="002C30D6">
        <w:rPr>
          <w:rFonts w:asciiTheme="minorHAnsi" w:hAnsiTheme="minorHAnsi"/>
          <w:lang w:val="en-GB"/>
        </w:rPr>
        <w:t xml:space="preserve"> (</w:t>
      </w:r>
      <w:proofErr w:type="spellStart"/>
      <w:r w:rsidRPr="002C30D6">
        <w:rPr>
          <w:rFonts w:asciiTheme="minorHAnsi" w:hAnsiTheme="minorHAnsi"/>
          <w:lang w:val="en-GB"/>
        </w:rPr>
        <w:t>Drofenik</w:t>
      </w:r>
      <w:proofErr w:type="spellEnd"/>
      <w:r w:rsidRPr="002C30D6">
        <w:rPr>
          <w:rFonts w:asciiTheme="minorHAnsi" w:hAnsiTheme="minorHAnsi"/>
          <w:lang w:val="en-GB"/>
        </w:rPr>
        <w:t>, 2015). Based on the analysis of the financing of adult education under the austerity measures and the uncritical tracking of European standards, Slovenia is abandoning the tradition of an innovative and socially oriented adult education system which used to foster social justice and empower personal and social development through education and learning (</w:t>
      </w:r>
      <w:proofErr w:type="spellStart"/>
      <w:r w:rsidRPr="002C30D6">
        <w:rPr>
          <w:rFonts w:asciiTheme="minorHAnsi" w:hAnsiTheme="minorHAnsi"/>
          <w:lang w:val="en-GB"/>
        </w:rPr>
        <w:t>Mikulec</w:t>
      </w:r>
      <w:proofErr w:type="spellEnd"/>
      <w:r w:rsidRPr="002C30D6">
        <w:rPr>
          <w:rFonts w:asciiTheme="minorHAnsi" w:hAnsiTheme="minorHAnsi"/>
          <w:lang w:val="en-GB"/>
        </w:rPr>
        <w:t xml:space="preserve"> and </w:t>
      </w:r>
      <w:proofErr w:type="spellStart"/>
      <w:r w:rsidRPr="002C30D6">
        <w:rPr>
          <w:rFonts w:asciiTheme="minorHAnsi" w:hAnsiTheme="minorHAnsi"/>
          <w:lang w:val="en-GB"/>
        </w:rPr>
        <w:t>Jelenc</w:t>
      </w:r>
      <w:proofErr w:type="spellEnd"/>
      <w:r w:rsidRPr="002C30D6">
        <w:rPr>
          <w:rFonts w:asciiTheme="minorHAnsi" w:hAnsiTheme="minorHAnsi"/>
          <w:lang w:val="en-GB"/>
        </w:rPr>
        <w:t xml:space="preserve"> </w:t>
      </w:r>
      <w:proofErr w:type="spellStart"/>
      <w:r w:rsidRPr="002C30D6">
        <w:rPr>
          <w:rFonts w:asciiTheme="minorHAnsi" w:hAnsiTheme="minorHAnsi"/>
          <w:lang w:val="en-GB"/>
        </w:rPr>
        <w:t>Krašovec</w:t>
      </w:r>
      <w:proofErr w:type="spellEnd"/>
      <w:r w:rsidRPr="002C30D6">
        <w:rPr>
          <w:rFonts w:asciiTheme="minorHAnsi" w:hAnsiTheme="minorHAnsi"/>
          <w:lang w:val="en-GB"/>
        </w:rPr>
        <w:t xml:space="preserve">, 2016; </w:t>
      </w:r>
      <w:proofErr w:type="spellStart"/>
      <w:r w:rsidRPr="002C30D6">
        <w:rPr>
          <w:rFonts w:asciiTheme="minorHAnsi" w:hAnsiTheme="minorHAnsi"/>
          <w:lang w:val="en-GB"/>
        </w:rPr>
        <w:t>Kump</w:t>
      </w:r>
      <w:proofErr w:type="spellEnd"/>
      <w:r w:rsidRPr="002C30D6">
        <w:rPr>
          <w:rFonts w:asciiTheme="minorHAnsi" w:hAnsiTheme="minorHAnsi"/>
          <w:lang w:val="en-GB"/>
        </w:rPr>
        <w:t>, 2017).</w:t>
      </w:r>
    </w:p>
    <w:p w:rsidR="00756C0B" w:rsidRPr="002C30D6" w:rsidRDefault="00756C0B" w:rsidP="00930AD7">
      <w:pPr>
        <w:pStyle w:val="bodytext"/>
        <w:spacing w:before="0" w:beforeAutospacing="0" w:after="120" w:afterAutospacing="0" w:line="276" w:lineRule="auto"/>
        <w:jc w:val="both"/>
        <w:rPr>
          <w:rFonts w:asciiTheme="minorHAnsi" w:hAnsiTheme="minorHAnsi" w:cs="TisaSansPro"/>
          <w:lang w:val="en-GB"/>
        </w:rPr>
      </w:pPr>
    </w:p>
    <w:p w:rsidR="00B076F9" w:rsidRPr="002C30D6" w:rsidRDefault="00E03578" w:rsidP="00B076F9">
      <w:pPr>
        <w:pStyle w:val="nagwek1"/>
        <w:rPr>
          <w:rFonts w:asciiTheme="minorHAnsi" w:hAnsiTheme="minorHAnsi"/>
          <w:b/>
          <w:sz w:val="24"/>
          <w:szCs w:val="24"/>
          <w:lang w:val="en-GB"/>
        </w:rPr>
      </w:pPr>
      <w:r w:rsidRPr="002C30D6">
        <w:rPr>
          <w:rFonts w:asciiTheme="minorHAnsi" w:hAnsiTheme="minorHAnsi"/>
          <w:b/>
          <w:sz w:val="24"/>
          <w:szCs w:val="24"/>
          <w:lang w:val="en-GB"/>
        </w:rPr>
        <w:t>3</w:t>
      </w:r>
      <w:r w:rsidR="00723974" w:rsidRPr="002C30D6">
        <w:rPr>
          <w:rFonts w:asciiTheme="minorHAnsi" w:hAnsiTheme="minorHAnsi"/>
          <w:b/>
          <w:sz w:val="24"/>
          <w:szCs w:val="24"/>
          <w:lang w:val="en-GB"/>
        </w:rPr>
        <w:t xml:space="preserve"> </w:t>
      </w:r>
      <w:r w:rsidR="00972887" w:rsidRPr="002C30D6">
        <w:rPr>
          <w:rFonts w:asciiTheme="minorHAnsi" w:hAnsiTheme="minorHAnsi"/>
          <w:b/>
          <w:sz w:val="24"/>
          <w:szCs w:val="24"/>
          <w:lang w:val="en-GB"/>
        </w:rPr>
        <w:t xml:space="preserve">The </w:t>
      </w:r>
      <w:r w:rsidR="0048672A" w:rsidRPr="002C30D6">
        <w:rPr>
          <w:rFonts w:asciiTheme="minorHAnsi" w:hAnsiTheme="minorHAnsi"/>
          <w:b/>
          <w:sz w:val="24"/>
          <w:szCs w:val="24"/>
          <w:lang w:val="en-GB"/>
        </w:rPr>
        <w:t>DESCRIPTION of</w:t>
      </w:r>
      <w:r w:rsidR="00B076F9" w:rsidRPr="002C30D6">
        <w:rPr>
          <w:rFonts w:asciiTheme="minorHAnsi" w:hAnsiTheme="minorHAnsi"/>
          <w:b/>
          <w:sz w:val="24"/>
          <w:szCs w:val="24"/>
          <w:lang w:val="en-GB"/>
        </w:rPr>
        <w:t xml:space="preserve"> THE </w:t>
      </w:r>
      <w:r w:rsidR="009840DD" w:rsidRPr="002C30D6">
        <w:rPr>
          <w:rFonts w:asciiTheme="minorHAnsi" w:hAnsiTheme="minorHAnsi"/>
          <w:b/>
          <w:sz w:val="24"/>
          <w:szCs w:val="24"/>
          <w:lang w:val="en-GB"/>
        </w:rPr>
        <w:t xml:space="preserve">researched </w:t>
      </w:r>
      <w:r w:rsidR="003A31D0" w:rsidRPr="002C30D6">
        <w:rPr>
          <w:rFonts w:asciiTheme="minorHAnsi" w:hAnsiTheme="minorHAnsi"/>
          <w:b/>
          <w:sz w:val="24"/>
          <w:szCs w:val="24"/>
          <w:lang w:val="en-GB"/>
        </w:rPr>
        <w:t>COMMUNIT</w:t>
      </w:r>
      <w:r w:rsidR="00D31C8B" w:rsidRPr="002C30D6">
        <w:rPr>
          <w:rFonts w:asciiTheme="minorHAnsi" w:hAnsiTheme="minorHAnsi"/>
          <w:b/>
          <w:sz w:val="24"/>
          <w:szCs w:val="24"/>
          <w:lang w:val="en-GB"/>
        </w:rPr>
        <w:t>ies</w:t>
      </w:r>
      <w:r w:rsidR="009840DD" w:rsidRPr="002C30D6">
        <w:rPr>
          <w:rFonts w:asciiTheme="minorHAnsi" w:hAnsiTheme="minorHAnsi"/>
          <w:b/>
          <w:sz w:val="24"/>
          <w:szCs w:val="24"/>
          <w:lang w:val="en-GB"/>
        </w:rPr>
        <w:t xml:space="preserve">: </w:t>
      </w:r>
      <w:r w:rsidR="003A31D0" w:rsidRPr="002C30D6">
        <w:rPr>
          <w:rFonts w:asciiTheme="minorHAnsi" w:hAnsiTheme="minorHAnsi"/>
          <w:b/>
          <w:sz w:val="24"/>
          <w:szCs w:val="24"/>
          <w:lang w:val="en-GB"/>
        </w:rPr>
        <w:t>THE BACKGROUND</w:t>
      </w:r>
      <w:r w:rsidR="00B076F9" w:rsidRPr="002C30D6">
        <w:rPr>
          <w:rFonts w:asciiTheme="minorHAnsi" w:hAnsiTheme="minorHAnsi"/>
          <w:b/>
          <w:sz w:val="24"/>
          <w:szCs w:val="24"/>
          <w:lang w:val="en-GB"/>
        </w:rPr>
        <w:t xml:space="preserve"> OF </w:t>
      </w:r>
      <w:r w:rsidR="0048672A" w:rsidRPr="002C30D6">
        <w:rPr>
          <w:rFonts w:asciiTheme="minorHAnsi" w:hAnsiTheme="minorHAnsi"/>
          <w:b/>
          <w:sz w:val="24"/>
          <w:szCs w:val="24"/>
          <w:lang w:val="en-GB"/>
        </w:rPr>
        <w:t xml:space="preserve">STRONG AND WEAK results/achievements </w:t>
      </w:r>
      <w:r w:rsidR="003A31D0" w:rsidRPr="002C30D6">
        <w:rPr>
          <w:rFonts w:asciiTheme="minorHAnsi" w:hAnsiTheme="minorHAnsi"/>
          <w:b/>
          <w:sz w:val="24"/>
          <w:szCs w:val="24"/>
          <w:lang w:val="en-GB"/>
        </w:rPr>
        <w:t xml:space="preserve"> </w:t>
      </w:r>
    </w:p>
    <w:p w:rsidR="00917DFD" w:rsidRPr="002C30D6" w:rsidRDefault="00917DFD" w:rsidP="00AD4C38">
      <w:pPr>
        <w:spacing w:before="0" w:after="120" w:line="276" w:lineRule="auto"/>
        <w:jc w:val="both"/>
        <w:rPr>
          <w:color w:val="auto"/>
          <w:sz w:val="24"/>
          <w:szCs w:val="24"/>
          <w:lang w:val="en-GB"/>
        </w:rPr>
      </w:pPr>
      <w:r w:rsidRPr="002C30D6">
        <w:rPr>
          <w:color w:val="auto"/>
          <w:sz w:val="24"/>
          <w:szCs w:val="24"/>
          <w:lang w:val="en-GB"/>
        </w:rPr>
        <w:t xml:space="preserve">Recommendations are based on extensive qualitative research on inclusion of older men (60+) in local communities in Slovenia, which was carried out in the spring of 2017 in Ljubljana (district community </w:t>
      </w:r>
      <w:proofErr w:type="spellStart"/>
      <w:r w:rsidRPr="002C30D6">
        <w:rPr>
          <w:color w:val="auto"/>
          <w:sz w:val="24"/>
          <w:szCs w:val="24"/>
          <w:lang w:val="en-GB"/>
        </w:rPr>
        <w:t>Bežigrad</w:t>
      </w:r>
      <w:proofErr w:type="spellEnd"/>
      <w:r w:rsidRPr="002C30D6">
        <w:rPr>
          <w:color w:val="auto"/>
          <w:sz w:val="24"/>
          <w:szCs w:val="24"/>
          <w:lang w:val="en-GB"/>
        </w:rPr>
        <w:t xml:space="preserve">), the municipality of </w:t>
      </w:r>
      <w:proofErr w:type="spellStart"/>
      <w:r w:rsidRPr="002C30D6">
        <w:rPr>
          <w:color w:val="auto"/>
          <w:sz w:val="24"/>
          <w:szCs w:val="24"/>
          <w:lang w:val="en-GB"/>
        </w:rPr>
        <w:t>Ajdovščina</w:t>
      </w:r>
      <w:proofErr w:type="spellEnd"/>
      <w:r w:rsidRPr="002C30D6">
        <w:rPr>
          <w:color w:val="auto"/>
          <w:sz w:val="24"/>
          <w:szCs w:val="24"/>
          <w:lang w:val="en-GB"/>
        </w:rPr>
        <w:t xml:space="preserve">, and to a smaller extent in various parts of Slovenia. The research includes three focus groups, 98 in-depth half-structured interviews, 10 case studies of good practices, and a review of existing academic literature and Slovenian and European policies on education and inclusion of elderly adults of local communities for better quality of life. </w:t>
      </w:r>
    </w:p>
    <w:p w:rsidR="00024284" w:rsidRPr="002C30D6" w:rsidRDefault="008F2100" w:rsidP="00AD4C38">
      <w:pPr>
        <w:spacing w:before="0" w:after="120" w:line="276" w:lineRule="auto"/>
        <w:jc w:val="both"/>
        <w:rPr>
          <w:color w:val="auto"/>
          <w:sz w:val="24"/>
          <w:szCs w:val="24"/>
          <w:lang w:val="en-GB"/>
        </w:rPr>
      </w:pPr>
      <w:r w:rsidRPr="002C30D6">
        <w:rPr>
          <w:color w:val="auto"/>
          <w:sz w:val="24"/>
          <w:szCs w:val="24"/>
          <w:lang w:val="en-GB"/>
        </w:rPr>
        <w:lastRenderedPageBreak/>
        <w:t>F</w:t>
      </w:r>
      <w:r w:rsidR="002930CA" w:rsidRPr="002C30D6">
        <w:rPr>
          <w:color w:val="auto"/>
          <w:sz w:val="24"/>
          <w:szCs w:val="24"/>
          <w:lang w:val="en-GB"/>
        </w:rPr>
        <w:t>rom the 22 participants included in the three focus groups carried out in Ljubljana-</w:t>
      </w:r>
      <w:proofErr w:type="spellStart"/>
      <w:r w:rsidR="002930CA" w:rsidRPr="002C30D6">
        <w:rPr>
          <w:color w:val="auto"/>
          <w:sz w:val="24"/>
          <w:szCs w:val="24"/>
          <w:lang w:val="en-GB"/>
        </w:rPr>
        <w:t>Bežigrad</w:t>
      </w:r>
      <w:proofErr w:type="spellEnd"/>
      <w:r w:rsidR="002930CA" w:rsidRPr="002C30D6">
        <w:rPr>
          <w:color w:val="auto"/>
          <w:sz w:val="24"/>
          <w:szCs w:val="24"/>
          <w:lang w:val="en-GB"/>
        </w:rPr>
        <w:t xml:space="preserve"> (2) and </w:t>
      </w:r>
      <w:proofErr w:type="spellStart"/>
      <w:r w:rsidR="002930CA" w:rsidRPr="002C30D6">
        <w:rPr>
          <w:color w:val="auto"/>
          <w:sz w:val="24"/>
          <w:szCs w:val="24"/>
          <w:lang w:val="en-GB"/>
        </w:rPr>
        <w:t>Ajdovščina</w:t>
      </w:r>
      <w:proofErr w:type="spellEnd"/>
      <w:r w:rsidR="002930CA" w:rsidRPr="002C30D6">
        <w:rPr>
          <w:color w:val="auto"/>
          <w:sz w:val="24"/>
          <w:szCs w:val="24"/>
          <w:lang w:val="en-GB"/>
        </w:rPr>
        <w:t xml:space="preserve"> (1), 5 were representatives of municipality, city, and town institutions, 6 were representatives of public institutions, and 11 were representatives of non-governmental organisations or civil society. </w:t>
      </w:r>
    </w:p>
    <w:p w:rsidR="00024284" w:rsidRPr="002C30D6" w:rsidRDefault="002930CA" w:rsidP="00024284">
      <w:pPr>
        <w:spacing w:before="0" w:after="120" w:line="276" w:lineRule="auto"/>
        <w:jc w:val="both"/>
        <w:rPr>
          <w:color w:val="auto"/>
          <w:sz w:val="24"/>
          <w:szCs w:val="24"/>
          <w:lang w:val="en-GB"/>
        </w:rPr>
      </w:pPr>
      <w:r w:rsidRPr="002C30D6">
        <w:rPr>
          <w:color w:val="auto"/>
          <w:sz w:val="24"/>
          <w:szCs w:val="24"/>
          <w:lang w:val="en-GB"/>
        </w:rPr>
        <w:t>From the 98 interviews chosen for analysis, 42 were conducted in the urban environment of the capital (</w:t>
      </w:r>
      <w:proofErr w:type="spellStart"/>
      <w:r w:rsidRPr="002C30D6">
        <w:rPr>
          <w:color w:val="auto"/>
          <w:sz w:val="24"/>
          <w:szCs w:val="24"/>
          <w:lang w:val="en-GB"/>
        </w:rPr>
        <w:t>Bežigrad</w:t>
      </w:r>
      <w:proofErr w:type="spellEnd"/>
      <w:r w:rsidRPr="002C30D6">
        <w:rPr>
          <w:color w:val="auto"/>
          <w:sz w:val="24"/>
          <w:szCs w:val="24"/>
          <w:lang w:val="en-GB"/>
        </w:rPr>
        <w:t xml:space="preserve">), 41 in a half-urban municipality of </w:t>
      </w:r>
      <w:proofErr w:type="spellStart"/>
      <w:r w:rsidRPr="002C30D6">
        <w:rPr>
          <w:color w:val="auto"/>
          <w:sz w:val="24"/>
          <w:szCs w:val="24"/>
          <w:lang w:val="en-GB"/>
        </w:rPr>
        <w:t>Ajdovščina</w:t>
      </w:r>
      <w:proofErr w:type="spellEnd"/>
      <w:r w:rsidRPr="002C30D6">
        <w:rPr>
          <w:color w:val="auto"/>
          <w:sz w:val="24"/>
          <w:szCs w:val="24"/>
          <w:lang w:val="en-GB"/>
        </w:rPr>
        <w:t xml:space="preserve"> and its rural surroundings, and 15 among sociocultural animators in various parts of Slovenia, mainly from rural environments or from smaller towns and municipalities, as well as three from Ljubljana. </w:t>
      </w:r>
      <w:r w:rsidR="00024284" w:rsidRPr="002C30D6">
        <w:rPr>
          <w:color w:val="auto"/>
          <w:sz w:val="24"/>
          <w:szCs w:val="24"/>
          <w:lang w:val="en-GB"/>
        </w:rPr>
        <w:t>The</w:t>
      </w:r>
      <w:r w:rsidRPr="002C30D6">
        <w:rPr>
          <w:color w:val="auto"/>
          <w:sz w:val="24"/>
          <w:szCs w:val="24"/>
          <w:lang w:val="en-GB"/>
        </w:rPr>
        <w:t xml:space="preserve"> average age of interviewees was 71, from which the most represented age groups were 60-69 (46%) and 70-79 (41%) and the least represented age group was 80+ (12%). Three retired persons younger than 60 were also included in the research. The youngest interviewee was 56 years old and the oldest 86. </w:t>
      </w:r>
    </w:p>
    <w:p w:rsidR="00024284" w:rsidRPr="002C30D6" w:rsidRDefault="00024284" w:rsidP="00024284">
      <w:pPr>
        <w:spacing w:before="0" w:after="120" w:line="276" w:lineRule="auto"/>
        <w:jc w:val="both"/>
        <w:rPr>
          <w:color w:val="auto"/>
          <w:sz w:val="24"/>
          <w:szCs w:val="24"/>
          <w:lang w:val="en-GB"/>
        </w:rPr>
      </w:pPr>
      <w:r w:rsidRPr="002C30D6">
        <w:rPr>
          <w:color w:val="auto"/>
          <w:sz w:val="24"/>
          <w:szCs w:val="24"/>
          <w:lang w:val="en-GB"/>
        </w:rPr>
        <w:t>T</w:t>
      </w:r>
      <w:r w:rsidR="002930CA" w:rsidRPr="002C30D6">
        <w:rPr>
          <w:color w:val="auto"/>
          <w:sz w:val="24"/>
          <w:szCs w:val="24"/>
          <w:lang w:val="en-GB"/>
        </w:rPr>
        <w:t xml:space="preserve">he majority of interviewees completed upper secondary education, that is, general, vocational and technical upper-secondary education (ISCED level 4 and 5) (54%), followed by a completed first cycle of tertiary education, that is, higher vocational education and higher professional and academic  education (ISCED level 6) (25%). 10% of interviewees were less educated, with three interviewees who did not finish primary education, three who completed primary education (ISCED level 2) and four who completed lower secondary education (ISCED level 3). Similarly represented were interviewees who completed the second and third cycle of tertiary education (graduate and postgraduate, ISCED level 7 and 8) (11%). </w:t>
      </w:r>
    </w:p>
    <w:p w:rsidR="002930CA" w:rsidRPr="002C30D6" w:rsidRDefault="002930CA" w:rsidP="002B4349">
      <w:pPr>
        <w:spacing w:before="0" w:after="100" w:afterAutospacing="1" w:line="276" w:lineRule="auto"/>
        <w:jc w:val="both"/>
        <w:rPr>
          <w:color w:val="auto"/>
          <w:sz w:val="24"/>
          <w:szCs w:val="24"/>
          <w:lang w:val="en-GB"/>
        </w:rPr>
      </w:pPr>
      <w:r w:rsidRPr="002C30D6">
        <w:rPr>
          <w:color w:val="auto"/>
          <w:sz w:val="24"/>
          <w:szCs w:val="24"/>
          <w:lang w:val="en-GB"/>
        </w:rPr>
        <w:t xml:space="preserve">95% of interviewees were retired, and 5% of the 60+ years old interviewees were still employed. 3% of the retired interviewees were still registered as economically active as sole proprietors or carrying out another form of paid work. </w:t>
      </w:r>
      <w:r w:rsidR="00024284" w:rsidRPr="002C30D6">
        <w:rPr>
          <w:color w:val="auto"/>
          <w:sz w:val="24"/>
          <w:szCs w:val="24"/>
          <w:lang w:val="en-GB"/>
        </w:rPr>
        <w:t>T</w:t>
      </w:r>
      <w:r w:rsidRPr="002C30D6">
        <w:rPr>
          <w:color w:val="auto"/>
          <w:sz w:val="24"/>
          <w:szCs w:val="24"/>
          <w:lang w:val="en-GB"/>
        </w:rPr>
        <w:t xml:space="preserve">he majority of interviewees were married or in a relationship (79%), 15% were widowed and 5 interviewees were single or divorced. </w:t>
      </w:r>
    </w:p>
    <w:p w:rsidR="00640650" w:rsidRPr="002C30D6" w:rsidRDefault="002930CA" w:rsidP="002B4349">
      <w:pPr>
        <w:autoSpaceDE w:val="0"/>
        <w:autoSpaceDN w:val="0"/>
        <w:adjustRightInd w:val="0"/>
        <w:spacing w:before="0" w:after="120" w:line="276" w:lineRule="auto"/>
        <w:jc w:val="both"/>
        <w:rPr>
          <w:rFonts w:cs="Arial"/>
          <w:color w:val="auto"/>
          <w:sz w:val="24"/>
          <w:szCs w:val="24"/>
          <w:lang w:val="en-GB"/>
        </w:rPr>
      </w:pPr>
      <w:r w:rsidRPr="002C30D6">
        <w:rPr>
          <w:rFonts w:cs="Times New Roman"/>
          <w:b/>
          <w:color w:val="auto"/>
          <w:sz w:val="24"/>
          <w:szCs w:val="24"/>
          <w:lang w:val="en-GB"/>
        </w:rPr>
        <w:t>The district community of Ljubljana-</w:t>
      </w:r>
      <w:proofErr w:type="spellStart"/>
      <w:r w:rsidRPr="002C30D6">
        <w:rPr>
          <w:rFonts w:cs="Times New Roman"/>
          <w:b/>
          <w:color w:val="auto"/>
          <w:sz w:val="24"/>
          <w:szCs w:val="24"/>
          <w:lang w:val="en-GB"/>
        </w:rPr>
        <w:t>Bežigrad</w:t>
      </w:r>
      <w:proofErr w:type="spellEnd"/>
      <w:r w:rsidRPr="002C30D6">
        <w:rPr>
          <w:rFonts w:cs="Times New Roman"/>
          <w:b/>
          <w:color w:val="auto"/>
          <w:sz w:val="24"/>
          <w:szCs w:val="24"/>
          <w:lang w:val="en-GB"/>
        </w:rPr>
        <w:t xml:space="preserve"> </w:t>
      </w:r>
      <w:r w:rsidRPr="002C30D6">
        <w:rPr>
          <w:rFonts w:cs="Times New Roman"/>
          <w:color w:val="auto"/>
          <w:sz w:val="24"/>
          <w:szCs w:val="24"/>
          <w:lang w:val="en-GB"/>
        </w:rPr>
        <w:t>is the</w:t>
      </w:r>
      <w:r w:rsidRPr="002C30D6">
        <w:rPr>
          <w:rFonts w:cs="Times New Roman"/>
          <w:b/>
          <w:color w:val="auto"/>
          <w:sz w:val="24"/>
          <w:szCs w:val="24"/>
          <w:lang w:val="en-GB"/>
        </w:rPr>
        <w:t xml:space="preserve"> </w:t>
      </w:r>
      <w:r w:rsidRPr="002C30D6">
        <w:rPr>
          <w:rFonts w:cs="Arial"/>
          <w:color w:val="auto"/>
          <w:sz w:val="24"/>
          <w:szCs w:val="24"/>
          <w:lang w:val="en-GB"/>
        </w:rPr>
        <w:t xml:space="preserve">wealthiest quarter of the </w:t>
      </w:r>
      <w:r w:rsidRPr="002C30D6">
        <w:rPr>
          <w:rFonts w:cs="Times New Roman"/>
          <w:color w:val="auto"/>
          <w:sz w:val="24"/>
          <w:szCs w:val="24"/>
          <w:lang w:val="en-GB"/>
        </w:rPr>
        <w:t xml:space="preserve">capital of Slovenia </w:t>
      </w:r>
      <w:r w:rsidRPr="002C30D6">
        <w:rPr>
          <w:rFonts w:cs="Arial"/>
          <w:color w:val="auto"/>
          <w:sz w:val="24"/>
          <w:szCs w:val="24"/>
          <w:lang w:val="en-GB"/>
        </w:rPr>
        <w:t>according to GDP per capita</w:t>
      </w:r>
      <w:r w:rsidRPr="002C30D6">
        <w:rPr>
          <w:rFonts w:cs="Times New Roman"/>
          <w:color w:val="auto"/>
          <w:sz w:val="24"/>
          <w:szCs w:val="24"/>
          <w:lang w:val="en-GB"/>
        </w:rPr>
        <w:t xml:space="preserve"> and is part of the region with the highest monthly average income per capita (1.099 EUR in 2015) and with the lowest</w:t>
      </w:r>
      <w:r w:rsidRPr="002C30D6">
        <w:rPr>
          <w:rFonts w:cs="Arial"/>
          <w:color w:val="auto"/>
          <w:sz w:val="24"/>
          <w:szCs w:val="24"/>
          <w:lang w:val="en-GB"/>
        </w:rPr>
        <w:t xml:space="preserve"> risk of </w:t>
      </w:r>
      <w:r w:rsidR="006B1DCE" w:rsidRPr="002C30D6">
        <w:rPr>
          <w:rFonts w:cs="Arial"/>
          <w:color w:val="auto"/>
          <w:sz w:val="24"/>
          <w:szCs w:val="24"/>
          <w:lang w:val="en-GB"/>
        </w:rPr>
        <w:t>poverty rate (11,8) (SURS, 2017</w:t>
      </w:r>
      <w:r w:rsidRPr="002C30D6">
        <w:rPr>
          <w:rFonts w:cs="Arial"/>
          <w:color w:val="auto"/>
          <w:sz w:val="24"/>
          <w:szCs w:val="24"/>
          <w:lang w:val="en-GB"/>
        </w:rPr>
        <w:t>). As a district with four University faculties and the biggest sport centre (</w:t>
      </w:r>
      <w:proofErr w:type="spellStart"/>
      <w:r w:rsidRPr="002C30D6">
        <w:rPr>
          <w:rFonts w:cs="Arial"/>
          <w:color w:val="auto"/>
          <w:sz w:val="24"/>
          <w:szCs w:val="24"/>
          <w:lang w:val="en-GB"/>
        </w:rPr>
        <w:t>Stožice</w:t>
      </w:r>
      <w:proofErr w:type="spellEnd"/>
      <w:r w:rsidRPr="002C30D6">
        <w:rPr>
          <w:rFonts w:cs="Arial"/>
          <w:color w:val="auto"/>
          <w:sz w:val="24"/>
          <w:szCs w:val="24"/>
          <w:lang w:val="en-GB"/>
        </w:rPr>
        <w:t>) it has favourable infrastructure and plenty of opportunities for cultural, intellectual, sports, social, community, etc. engagement. Despite all the advantages, more than 10% of residents face poverty, which is more about scraping by than surviving: people can afford to eat and live with the use of family support and neighbourhood support, but they cannot afford much else, particularly new cultural and intellectual experiences, travelling or socializing outside of home – despite living in an environment with all these opportunities. The majority of residents of the district community have moved to Ljubljana from other parts of Slovenia for work, and therefore identification with the local community and the neighbourhood is relatively low, while attachment to place of birth is still strong. As a consequence there is a strong feeling of loneliness a</w:t>
      </w:r>
      <w:r w:rsidR="00D20C0E" w:rsidRPr="002C30D6">
        <w:rPr>
          <w:rFonts w:cs="Arial"/>
          <w:color w:val="auto"/>
          <w:sz w:val="24"/>
          <w:szCs w:val="24"/>
          <w:lang w:val="en-GB"/>
        </w:rPr>
        <w:t>nd alienation among the elderly.</w:t>
      </w:r>
      <w:r w:rsidR="008D7660" w:rsidRPr="002C30D6">
        <w:rPr>
          <w:rFonts w:cs="Arial"/>
          <w:color w:val="auto"/>
          <w:sz w:val="24"/>
          <w:szCs w:val="24"/>
          <w:lang w:val="en-GB"/>
        </w:rPr>
        <w:t xml:space="preserve"> </w:t>
      </w:r>
      <w:r w:rsidR="00D20C0E" w:rsidRPr="002C30D6">
        <w:rPr>
          <w:rFonts w:cs="Arial"/>
          <w:color w:val="auto"/>
          <w:sz w:val="24"/>
          <w:szCs w:val="24"/>
          <w:lang w:val="en-GB"/>
        </w:rPr>
        <w:t xml:space="preserve">The </w:t>
      </w:r>
      <w:r w:rsidRPr="002C30D6">
        <w:rPr>
          <w:rFonts w:cs="Arial"/>
          <w:color w:val="auto"/>
          <w:sz w:val="24"/>
          <w:szCs w:val="24"/>
          <w:lang w:val="en-GB"/>
        </w:rPr>
        <w:t xml:space="preserve">percentage of older people treated as adults under custody (guardianship) in the district has doubled from 56 in year 2010 to 106 in 2017 (CSD, 2018). </w:t>
      </w:r>
    </w:p>
    <w:p w:rsidR="002930CA" w:rsidRDefault="002930CA" w:rsidP="002B4349">
      <w:pPr>
        <w:autoSpaceDE w:val="0"/>
        <w:autoSpaceDN w:val="0"/>
        <w:adjustRightInd w:val="0"/>
        <w:spacing w:before="0" w:after="120" w:line="276" w:lineRule="auto"/>
        <w:jc w:val="both"/>
        <w:rPr>
          <w:rFonts w:cs="Arial"/>
          <w:color w:val="auto"/>
          <w:sz w:val="24"/>
          <w:szCs w:val="24"/>
          <w:lang w:val="en-GB"/>
        </w:rPr>
      </w:pPr>
      <w:r w:rsidRPr="002C30D6">
        <w:rPr>
          <w:rFonts w:cs="Arial"/>
          <w:b/>
          <w:color w:val="auto"/>
          <w:sz w:val="24"/>
          <w:szCs w:val="24"/>
          <w:lang w:val="en-GB"/>
        </w:rPr>
        <w:lastRenderedPageBreak/>
        <w:t xml:space="preserve">The municipality of </w:t>
      </w:r>
      <w:proofErr w:type="spellStart"/>
      <w:r w:rsidRPr="002C30D6">
        <w:rPr>
          <w:rFonts w:cs="Arial"/>
          <w:b/>
          <w:color w:val="auto"/>
          <w:sz w:val="24"/>
          <w:szCs w:val="24"/>
          <w:lang w:val="en-GB"/>
        </w:rPr>
        <w:t>Ajdovščina</w:t>
      </w:r>
      <w:proofErr w:type="spellEnd"/>
      <w:r w:rsidRPr="002C30D6">
        <w:rPr>
          <w:rFonts w:cs="Arial"/>
          <w:color w:val="auto"/>
          <w:sz w:val="24"/>
          <w:szCs w:val="24"/>
          <w:lang w:val="en-GB"/>
        </w:rPr>
        <w:t xml:space="preserve">, which lies in </w:t>
      </w:r>
      <w:proofErr w:type="spellStart"/>
      <w:r w:rsidRPr="002C30D6">
        <w:rPr>
          <w:rFonts w:cs="Arial"/>
          <w:color w:val="auto"/>
          <w:sz w:val="24"/>
          <w:szCs w:val="24"/>
          <w:lang w:val="en-GB"/>
        </w:rPr>
        <w:t>Goriška</w:t>
      </w:r>
      <w:proofErr w:type="spellEnd"/>
      <w:r w:rsidRPr="002C30D6">
        <w:rPr>
          <w:rFonts w:cs="Arial"/>
          <w:color w:val="auto"/>
          <w:sz w:val="24"/>
          <w:szCs w:val="24"/>
          <w:lang w:val="en-GB"/>
        </w:rPr>
        <w:t xml:space="preserve"> region in the western part of Slovenia, was hit by two economic crises in last 30 years. Although the western part of Slovenia used to have a higher quality of life compared to regions in the eastern part (</w:t>
      </w:r>
      <w:proofErr w:type="spellStart"/>
      <w:r w:rsidRPr="002C30D6">
        <w:rPr>
          <w:rFonts w:cs="Arial"/>
          <w:color w:val="auto"/>
          <w:sz w:val="24"/>
          <w:szCs w:val="24"/>
          <w:lang w:val="en-GB"/>
        </w:rPr>
        <w:t>Gregorčič</w:t>
      </w:r>
      <w:proofErr w:type="spellEnd"/>
      <w:r w:rsidRPr="002C30D6">
        <w:rPr>
          <w:rFonts w:cs="Arial"/>
          <w:color w:val="auto"/>
          <w:sz w:val="24"/>
          <w:szCs w:val="24"/>
          <w:lang w:val="en-GB"/>
        </w:rPr>
        <w:t xml:space="preserve"> in </w:t>
      </w:r>
      <w:proofErr w:type="spellStart"/>
      <w:r w:rsidRPr="002C30D6">
        <w:rPr>
          <w:rFonts w:cs="Arial"/>
          <w:color w:val="auto"/>
          <w:sz w:val="24"/>
          <w:szCs w:val="24"/>
          <w:lang w:val="en-GB"/>
        </w:rPr>
        <w:t>Hanžek</w:t>
      </w:r>
      <w:proofErr w:type="spellEnd"/>
      <w:r w:rsidRPr="002C30D6">
        <w:rPr>
          <w:rFonts w:cs="Arial"/>
          <w:color w:val="auto"/>
          <w:sz w:val="24"/>
          <w:szCs w:val="24"/>
          <w:lang w:val="en-GB"/>
        </w:rPr>
        <w:t xml:space="preserve">, 2001), </w:t>
      </w:r>
      <w:proofErr w:type="spellStart"/>
      <w:r w:rsidRPr="002C30D6">
        <w:rPr>
          <w:rFonts w:cs="Arial"/>
          <w:color w:val="auto"/>
          <w:sz w:val="24"/>
          <w:szCs w:val="24"/>
          <w:lang w:val="en-GB"/>
        </w:rPr>
        <w:t>Ajdovščina</w:t>
      </w:r>
      <w:proofErr w:type="spellEnd"/>
      <w:r w:rsidRPr="002C30D6">
        <w:rPr>
          <w:rFonts w:cs="Arial"/>
          <w:color w:val="auto"/>
          <w:sz w:val="24"/>
          <w:szCs w:val="24"/>
          <w:lang w:val="en-GB"/>
        </w:rPr>
        <w:t xml:space="preserve"> has lost this privilege as a result of the crises and is now in the national average. The unemployment rate in </w:t>
      </w:r>
      <w:proofErr w:type="spellStart"/>
      <w:r w:rsidRPr="002C30D6">
        <w:rPr>
          <w:rFonts w:cs="Arial"/>
          <w:color w:val="auto"/>
          <w:sz w:val="24"/>
          <w:szCs w:val="24"/>
          <w:lang w:val="en-GB"/>
        </w:rPr>
        <w:t>Ajdovščina</w:t>
      </w:r>
      <w:proofErr w:type="spellEnd"/>
      <w:r w:rsidRPr="002C30D6">
        <w:rPr>
          <w:rFonts w:cs="Arial"/>
          <w:color w:val="auto"/>
          <w:sz w:val="24"/>
          <w:szCs w:val="24"/>
          <w:lang w:val="en-GB"/>
        </w:rPr>
        <w:t xml:space="preserve"> increased to 14.7% after the last crisis in 2008 and then gradually drop</w:t>
      </w:r>
      <w:r w:rsidR="006B1DCE" w:rsidRPr="002C30D6">
        <w:rPr>
          <w:rFonts w:cs="Arial"/>
          <w:color w:val="auto"/>
          <w:sz w:val="24"/>
          <w:szCs w:val="24"/>
          <w:lang w:val="en-GB"/>
        </w:rPr>
        <w:t>ped to 7.3% in 2017 (SURS, 2017</w:t>
      </w:r>
      <w:r w:rsidRPr="002C30D6">
        <w:rPr>
          <w:rFonts w:cs="Arial"/>
          <w:color w:val="auto"/>
          <w:sz w:val="24"/>
          <w:szCs w:val="24"/>
          <w:lang w:val="en-GB"/>
        </w:rPr>
        <w:t xml:space="preserve">), which is lower than the national average. Until 2011 </w:t>
      </w:r>
      <w:proofErr w:type="spellStart"/>
      <w:r w:rsidRPr="002C30D6">
        <w:rPr>
          <w:rFonts w:cs="Arial"/>
          <w:color w:val="auto"/>
          <w:sz w:val="24"/>
          <w:szCs w:val="24"/>
          <w:lang w:val="en-GB"/>
        </w:rPr>
        <w:t>Goriška</w:t>
      </w:r>
      <w:proofErr w:type="spellEnd"/>
      <w:r w:rsidRPr="002C30D6">
        <w:rPr>
          <w:rFonts w:cs="Arial"/>
          <w:color w:val="auto"/>
          <w:sz w:val="24"/>
          <w:szCs w:val="24"/>
          <w:lang w:val="en-GB"/>
        </w:rPr>
        <w:t xml:space="preserve"> region had the lowest risk of social exclusion (13% compared to the national level of 19.3%), which increased to over 20% in the f</w:t>
      </w:r>
      <w:r w:rsidR="006B1DCE" w:rsidRPr="002C30D6">
        <w:rPr>
          <w:rFonts w:cs="Arial"/>
          <w:color w:val="auto"/>
          <w:sz w:val="24"/>
          <w:szCs w:val="24"/>
          <w:lang w:val="en-GB"/>
        </w:rPr>
        <w:t>ollowing years (SURS, 2018</w:t>
      </w:r>
      <w:r w:rsidRPr="002C30D6">
        <w:rPr>
          <w:rFonts w:cs="Arial"/>
          <w:color w:val="auto"/>
          <w:sz w:val="24"/>
          <w:szCs w:val="24"/>
          <w:lang w:val="en-GB"/>
        </w:rPr>
        <w:t xml:space="preserve">). </w:t>
      </w:r>
      <w:proofErr w:type="spellStart"/>
      <w:r w:rsidRPr="002C30D6">
        <w:rPr>
          <w:rFonts w:cs="Arial"/>
          <w:color w:val="auto"/>
          <w:sz w:val="24"/>
          <w:szCs w:val="24"/>
          <w:lang w:val="en-GB"/>
        </w:rPr>
        <w:t>Ajdovščina</w:t>
      </w:r>
      <w:proofErr w:type="spellEnd"/>
      <w:r w:rsidRPr="002C30D6">
        <w:rPr>
          <w:rFonts w:cs="Arial"/>
          <w:color w:val="auto"/>
          <w:sz w:val="24"/>
          <w:szCs w:val="24"/>
          <w:lang w:val="en-GB"/>
        </w:rPr>
        <w:t xml:space="preserve"> (15.2%) ranks above the national average (14.3%) in the r</w:t>
      </w:r>
      <w:r w:rsidR="006B1DCE" w:rsidRPr="002C30D6">
        <w:rPr>
          <w:rFonts w:cs="Arial"/>
          <w:color w:val="auto"/>
          <w:sz w:val="24"/>
          <w:szCs w:val="24"/>
          <w:lang w:val="en-GB"/>
        </w:rPr>
        <w:t>isk of poverty rate (SURS, 2017</w:t>
      </w:r>
      <w:r w:rsidRPr="002C30D6">
        <w:rPr>
          <w:rFonts w:cs="Arial"/>
          <w:color w:val="auto"/>
          <w:sz w:val="24"/>
          <w:szCs w:val="24"/>
          <w:lang w:val="en-GB"/>
        </w:rPr>
        <w:t xml:space="preserve">). Both economic downturns had a devastating effect on the elderly in </w:t>
      </w:r>
      <w:proofErr w:type="spellStart"/>
      <w:r w:rsidRPr="002C30D6">
        <w:rPr>
          <w:rFonts w:cs="Arial"/>
          <w:color w:val="auto"/>
          <w:sz w:val="24"/>
          <w:szCs w:val="24"/>
          <w:lang w:val="en-GB"/>
        </w:rPr>
        <w:t>Ajdovščina</w:t>
      </w:r>
      <w:proofErr w:type="spellEnd"/>
      <w:r w:rsidRPr="002C30D6">
        <w:rPr>
          <w:rFonts w:cs="Arial"/>
          <w:color w:val="auto"/>
          <w:sz w:val="24"/>
          <w:szCs w:val="24"/>
          <w:lang w:val="en-GB"/>
        </w:rPr>
        <w:t>; many found themselves jobless shortly before their retirement age and the pensions of the retired were lowered because of unpaid contributions of co</w:t>
      </w:r>
      <w:r w:rsidR="007D4CBD" w:rsidRPr="002C30D6">
        <w:rPr>
          <w:rFonts w:cs="Arial"/>
          <w:color w:val="auto"/>
          <w:sz w:val="24"/>
          <w:szCs w:val="24"/>
          <w:lang w:val="en-GB"/>
        </w:rPr>
        <w:t>mpanies. The majority of burdens were</w:t>
      </w:r>
      <w:r w:rsidRPr="002C30D6">
        <w:rPr>
          <w:rFonts w:cs="Arial"/>
          <w:color w:val="auto"/>
          <w:sz w:val="24"/>
          <w:szCs w:val="24"/>
          <w:lang w:val="en-GB"/>
        </w:rPr>
        <w:t xml:space="preserve"> carried out by women, because many men died soon after retirement or after job loss</w:t>
      </w:r>
      <w:r w:rsidR="00A617AB" w:rsidRPr="002C30D6">
        <w:rPr>
          <w:rFonts w:cs="Arial"/>
          <w:color w:val="auto"/>
          <w:sz w:val="24"/>
          <w:szCs w:val="24"/>
          <w:lang w:val="en-GB"/>
        </w:rPr>
        <w:t xml:space="preserve"> </w:t>
      </w:r>
      <w:r w:rsidR="007D4CBD" w:rsidRPr="002C30D6">
        <w:rPr>
          <w:rFonts w:cs="Arial"/>
          <w:color w:val="auto"/>
          <w:sz w:val="24"/>
          <w:szCs w:val="24"/>
          <w:lang w:val="en-GB"/>
        </w:rPr>
        <w:t xml:space="preserve">due to illnesses, depression, etc. </w:t>
      </w:r>
      <w:r w:rsidR="00A617AB" w:rsidRPr="002C30D6">
        <w:rPr>
          <w:rFonts w:cs="Arial"/>
          <w:color w:val="auto"/>
          <w:sz w:val="24"/>
          <w:szCs w:val="24"/>
          <w:lang w:val="en-GB"/>
        </w:rPr>
        <w:t>(</w:t>
      </w:r>
      <w:proofErr w:type="spellStart"/>
      <w:r w:rsidR="00A617AB" w:rsidRPr="002C30D6">
        <w:rPr>
          <w:rFonts w:cs="Arial"/>
          <w:color w:val="auto"/>
          <w:sz w:val="24"/>
          <w:szCs w:val="24"/>
          <w:lang w:val="en-GB"/>
        </w:rPr>
        <w:t>Gregorčič</w:t>
      </w:r>
      <w:proofErr w:type="spellEnd"/>
      <w:r w:rsidR="00A617AB" w:rsidRPr="002C30D6">
        <w:rPr>
          <w:rFonts w:cs="Arial"/>
          <w:color w:val="auto"/>
          <w:sz w:val="24"/>
          <w:szCs w:val="24"/>
          <w:lang w:val="en-GB"/>
        </w:rPr>
        <w:t>, 2017)</w:t>
      </w:r>
      <w:r w:rsidRPr="002C30D6">
        <w:rPr>
          <w:rFonts w:cs="Arial"/>
          <w:color w:val="auto"/>
          <w:sz w:val="24"/>
          <w:szCs w:val="24"/>
          <w:lang w:val="en-GB"/>
        </w:rPr>
        <w:t xml:space="preserve">. As a consequence, women are often emphasised as those who faced poverty and fought against this economic and material detraction. </w:t>
      </w:r>
    </w:p>
    <w:p w:rsidR="00756C0B" w:rsidRPr="002C30D6" w:rsidRDefault="00756C0B" w:rsidP="002B4349">
      <w:pPr>
        <w:autoSpaceDE w:val="0"/>
        <w:autoSpaceDN w:val="0"/>
        <w:adjustRightInd w:val="0"/>
        <w:spacing w:before="0" w:after="120" w:line="276" w:lineRule="auto"/>
        <w:jc w:val="both"/>
        <w:rPr>
          <w:rFonts w:cs="Arial"/>
          <w:color w:val="auto"/>
          <w:sz w:val="24"/>
          <w:szCs w:val="24"/>
          <w:lang w:val="en-GB"/>
        </w:rPr>
      </w:pPr>
    </w:p>
    <w:p w:rsidR="007001BD" w:rsidRPr="002C30D6" w:rsidRDefault="00756C0B">
      <w:pPr>
        <w:pStyle w:val="nagwek1"/>
        <w:rPr>
          <w:rFonts w:asciiTheme="minorHAnsi" w:hAnsiTheme="minorHAnsi"/>
          <w:b/>
          <w:sz w:val="24"/>
          <w:szCs w:val="24"/>
          <w:lang w:val="en-GB"/>
        </w:rPr>
      </w:pPr>
      <w:r>
        <w:rPr>
          <w:rFonts w:asciiTheme="minorHAnsi" w:hAnsiTheme="minorHAnsi"/>
          <w:b/>
          <w:sz w:val="24"/>
          <w:szCs w:val="24"/>
          <w:lang w:val="en-GB"/>
        </w:rPr>
        <w:t>4</w:t>
      </w:r>
      <w:r w:rsidR="00723974" w:rsidRPr="002C30D6">
        <w:rPr>
          <w:rFonts w:asciiTheme="minorHAnsi" w:hAnsiTheme="minorHAnsi"/>
          <w:b/>
          <w:sz w:val="24"/>
          <w:szCs w:val="24"/>
          <w:lang w:val="en-GB"/>
        </w:rPr>
        <w:t xml:space="preserve"> </w:t>
      </w:r>
      <w:r w:rsidR="00560836" w:rsidRPr="002C30D6">
        <w:rPr>
          <w:rFonts w:asciiTheme="minorHAnsi" w:hAnsiTheme="minorHAnsi"/>
          <w:b/>
          <w:sz w:val="24"/>
          <w:szCs w:val="24"/>
          <w:lang w:val="en-GB"/>
        </w:rPr>
        <w:t>THE LIST OF PRESENT AND</w:t>
      </w:r>
      <w:r w:rsidR="002C689C" w:rsidRPr="002C30D6">
        <w:rPr>
          <w:rFonts w:asciiTheme="minorHAnsi" w:hAnsiTheme="minorHAnsi"/>
          <w:b/>
          <w:sz w:val="24"/>
          <w:szCs w:val="24"/>
          <w:lang w:val="en-GB"/>
        </w:rPr>
        <w:t>/</w:t>
      </w:r>
      <w:r w:rsidR="007D4CBD" w:rsidRPr="002C30D6">
        <w:rPr>
          <w:rFonts w:asciiTheme="minorHAnsi" w:hAnsiTheme="minorHAnsi"/>
          <w:b/>
          <w:sz w:val="24"/>
          <w:szCs w:val="24"/>
          <w:lang w:val="en-GB"/>
        </w:rPr>
        <w:t>OR PREDICTABLE</w:t>
      </w:r>
      <w:r w:rsidR="00560836" w:rsidRPr="002C30D6">
        <w:rPr>
          <w:rFonts w:asciiTheme="minorHAnsi" w:hAnsiTheme="minorHAnsi"/>
          <w:b/>
          <w:sz w:val="24"/>
          <w:szCs w:val="24"/>
          <w:lang w:val="en-GB"/>
        </w:rPr>
        <w:t xml:space="preserve"> </w:t>
      </w:r>
      <w:r w:rsidR="007D4CBD" w:rsidRPr="002C30D6">
        <w:rPr>
          <w:rFonts w:asciiTheme="minorHAnsi" w:hAnsiTheme="minorHAnsi"/>
          <w:b/>
          <w:sz w:val="24"/>
          <w:szCs w:val="24"/>
          <w:lang w:val="en-GB"/>
        </w:rPr>
        <w:t xml:space="preserve">PROBLEMS </w:t>
      </w:r>
      <w:r w:rsidR="00560836" w:rsidRPr="002C30D6">
        <w:rPr>
          <w:rFonts w:asciiTheme="minorHAnsi" w:hAnsiTheme="minorHAnsi"/>
          <w:b/>
          <w:sz w:val="24"/>
          <w:szCs w:val="24"/>
          <w:lang w:val="en-GB"/>
        </w:rPr>
        <w:t>ELICITED</w:t>
      </w:r>
      <w:r w:rsidR="007D4CBD" w:rsidRPr="002C30D6">
        <w:rPr>
          <w:rFonts w:asciiTheme="minorHAnsi" w:hAnsiTheme="minorHAnsi"/>
          <w:b/>
          <w:sz w:val="24"/>
          <w:szCs w:val="24"/>
          <w:lang w:val="en-GB"/>
        </w:rPr>
        <w:t>/EVALUATED</w:t>
      </w:r>
      <w:r w:rsidR="002C689C" w:rsidRPr="002C30D6">
        <w:rPr>
          <w:rFonts w:asciiTheme="minorHAnsi" w:hAnsiTheme="minorHAnsi"/>
          <w:b/>
          <w:sz w:val="24"/>
          <w:szCs w:val="24"/>
          <w:lang w:val="en-GB"/>
        </w:rPr>
        <w:t xml:space="preserve"> </w:t>
      </w:r>
      <w:r w:rsidR="00560836" w:rsidRPr="002C30D6">
        <w:rPr>
          <w:rFonts w:asciiTheme="minorHAnsi" w:hAnsiTheme="minorHAnsi"/>
          <w:b/>
          <w:sz w:val="24"/>
          <w:szCs w:val="24"/>
          <w:lang w:val="en-GB"/>
        </w:rPr>
        <w:t xml:space="preserve">FROM THE </w:t>
      </w:r>
      <w:r w:rsidR="007964CD" w:rsidRPr="002C30D6">
        <w:rPr>
          <w:rFonts w:asciiTheme="minorHAnsi" w:hAnsiTheme="minorHAnsi"/>
          <w:b/>
          <w:sz w:val="24"/>
          <w:szCs w:val="24"/>
          <w:lang w:val="en-GB"/>
        </w:rPr>
        <w:t>research</w:t>
      </w:r>
      <w:r w:rsidR="002C689C" w:rsidRPr="002C30D6">
        <w:rPr>
          <w:rFonts w:asciiTheme="minorHAnsi" w:hAnsiTheme="minorHAnsi"/>
          <w:b/>
          <w:sz w:val="24"/>
          <w:szCs w:val="24"/>
          <w:lang w:val="en-GB"/>
        </w:rPr>
        <w:t xml:space="preserve">  </w:t>
      </w:r>
    </w:p>
    <w:p w:rsidR="007964CD" w:rsidRPr="002C30D6" w:rsidRDefault="007964CD" w:rsidP="007964CD">
      <w:pPr>
        <w:spacing w:before="0" w:after="120" w:line="276" w:lineRule="auto"/>
        <w:jc w:val="both"/>
        <w:rPr>
          <w:b/>
          <w:color w:val="auto"/>
          <w:sz w:val="24"/>
          <w:szCs w:val="24"/>
          <w:u w:val="single"/>
          <w:lang w:val="en-GB"/>
        </w:rPr>
      </w:pPr>
      <w:r w:rsidRPr="002C30D6">
        <w:rPr>
          <w:b/>
          <w:color w:val="auto"/>
          <w:sz w:val="24"/>
          <w:szCs w:val="24"/>
          <w:u w:val="single"/>
          <w:lang w:val="en-GB"/>
        </w:rPr>
        <w:t>THE OVERALL RESULTS OF THE FOCUS GROUPS:</w:t>
      </w:r>
    </w:p>
    <w:p w:rsidR="002930CA" w:rsidRPr="002C30D6" w:rsidRDefault="002930CA" w:rsidP="002D195C">
      <w:pPr>
        <w:spacing w:before="0" w:after="120" w:line="276" w:lineRule="auto"/>
        <w:jc w:val="both"/>
        <w:rPr>
          <w:color w:val="auto"/>
          <w:sz w:val="24"/>
          <w:szCs w:val="24"/>
          <w:lang w:val="en-GB"/>
        </w:rPr>
      </w:pPr>
      <w:r w:rsidRPr="002C30D6">
        <w:rPr>
          <w:b/>
          <w:color w:val="auto"/>
          <w:sz w:val="24"/>
          <w:szCs w:val="24"/>
          <w:lang w:val="en-GB"/>
        </w:rPr>
        <w:t>The focus group participants in KS-</w:t>
      </w:r>
      <w:proofErr w:type="spellStart"/>
      <w:r w:rsidRPr="002C30D6">
        <w:rPr>
          <w:b/>
          <w:color w:val="auto"/>
          <w:sz w:val="24"/>
          <w:szCs w:val="24"/>
          <w:lang w:val="en-GB"/>
        </w:rPr>
        <w:t>Bežigrad</w:t>
      </w:r>
      <w:proofErr w:type="spellEnd"/>
      <w:r w:rsidRPr="002C30D6">
        <w:rPr>
          <w:b/>
          <w:color w:val="auto"/>
          <w:sz w:val="24"/>
          <w:szCs w:val="24"/>
          <w:lang w:val="en-GB"/>
        </w:rPr>
        <w:t xml:space="preserve"> (FG1) </w:t>
      </w:r>
      <w:r w:rsidRPr="002C30D6">
        <w:rPr>
          <w:color w:val="auto"/>
          <w:sz w:val="24"/>
          <w:szCs w:val="24"/>
          <w:lang w:val="en-GB"/>
        </w:rPr>
        <w:t>defined their social environment as an inclusive, immensely active environment with diverse possibilities for high quality of life and for leisure activities. However, due to urbanisation, immigration (and strong identification of residents with their original environment out of Ljubljana), and the modern way of living, the environment is dominated by separateness, fragmentation, ignorance and detachment. The highlighted problems faced by older people in the community were: a) isolation (the elderly isolate themselves from the world due to hardship, poverty, loneliness, fear, as well as security and anti-burglary systems that prevent spontaneous visits, etc.); b) poorly managed home and social services (reflected above all by criticizing the dissolution of a comprehensive social system that once worked for people, and on the ground with people); c) poverty; and d) insufficient information about possibilities for active ageing of older adults. For the greater involvement of older men in the community, however, they proposed in particular the strengthening of activities for men in NGOs (sports, firefighting, veterans', etc.), introducing or replacing abandoned activities (organising typically male activities, like modelling, woodworking, etc.) and activities that highlight (physical) work and rank (the factors which defined men most in the working period). They highlighted the need for a coordinator for older men as an informer and a link between associations, initiatives, institutions and organizations, and the contribution of the younger generation to the integration of older people into the community.</w:t>
      </w:r>
    </w:p>
    <w:p w:rsidR="002930CA" w:rsidRPr="002C30D6" w:rsidRDefault="002930CA" w:rsidP="002D195C">
      <w:pPr>
        <w:spacing w:before="0" w:after="120" w:line="276" w:lineRule="auto"/>
        <w:jc w:val="both"/>
        <w:rPr>
          <w:color w:val="auto"/>
          <w:sz w:val="24"/>
          <w:szCs w:val="24"/>
          <w:lang w:val="en-GB"/>
        </w:rPr>
      </w:pPr>
      <w:r w:rsidRPr="002C30D6">
        <w:rPr>
          <w:b/>
          <w:color w:val="auto"/>
          <w:sz w:val="24"/>
          <w:szCs w:val="24"/>
          <w:lang w:val="en-GB"/>
        </w:rPr>
        <w:lastRenderedPageBreak/>
        <w:t xml:space="preserve">The focus group participants in the Day </w:t>
      </w:r>
      <w:proofErr w:type="spellStart"/>
      <w:r w:rsidRPr="002C30D6">
        <w:rPr>
          <w:b/>
          <w:color w:val="auto"/>
          <w:sz w:val="24"/>
          <w:szCs w:val="24"/>
          <w:lang w:val="en-GB"/>
        </w:rPr>
        <w:t>center</w:t>
      </w:r>
      <w:proofErr w:type="spellEnd"/>
      <w:r w:rsidRPr="002C30D6">
        <w:rPr>
          <w:b/>
          <w:color w:val="auto"/>
          <w:sz w:val="24"/>
          <w:szCs w:val="24"/>
          <w:lang w:val="en-GB"/>
        </w:rPr>
        <w:t xml:space="preserve"> activities for the elderly in Ljubljana-</w:t>
      </w:r>
      <w:proofErr w:type="spellStart"/>
      <w:r w:rsidRPr="002C30D6">
        <w:rPr>
          <w:b/>
          <w:color w:val="auto"/>
          <w:sz w:val="24"/>
          <w:szCs w:val="24"/>
          <w:lang w:val="en-GB"/>
        </w:rPr>
        <w:t>Bežigrad</w:t>
      </w:r>
      <w:proofErr w:type="spellEnd"/>
      <w:r w:rsidRPr="002C30D6">
        <w:rPr>
          <w:b/>
          <w:color w:val="auto"/>
          <w:sz w:val="24"/>
          <w:szCs w:val="24"/>
          <w:lang w:val="en-GB"/>
        </w:rPr>
        <w:t xml:space="preserve"> –</w:t>
      </w:r>
      <w:r w:rsidR="00D31C8B" w:rsidRPr="002C30D6">
        <w:rPr>
          <w:b/>
          <w:color w:val="auto"/>
          <w:sz w:val="24"/>
          <w:szCs w:val="24"/>
          <w:lang w:val="en-GB"/>
        </w:rPr>
        <w:t xml:space="preserve"> </w:t>
      </w:r>
      <w:r w:rsidRPr="002C30D6">
        <w:rPr>
          <w:b/>
          <w:color w:val="auto"/>
          <w:sz w:val="24"/>
          <w:szCs w:val="24"/>
          <w:lang w:val="en-GB"/>
        </w:rPr>
        <w:t xml:space="preserve">DCA (FG2) </w:t>
      </w:r>
      <w:r w:rsidRPr="002C30D6">
        <w:rPr>
          <w:color w:val="auto"/>
          <w:sz w:val="24"/>
          <w:szCs w:val="24"/>
          <w:lang w:val="en-GB"/>
        </w:rPr>
        <w:t>define their</w:t>
      </w:r>
      <w:r w:rsidRPr="002C30D6">
        <w:rPr>
          <w:b/>
          <w:color w:val="auto"/>
          <w:sz w:val="24"/>
          <w:szCs w:val="24"/>
          <w:lang w:val="en-GB"/>
        </w:rPr>
        <w:t xml:space="preserve"> </w:t>
      </w:r>
      <w:proofErr w:type="spellStart"/>
      <w:r w:rsidRPr="002C30D6">
        <w:rPr>
          <w:color w:val="auto"/>
          <w:sz w:val="24"/>
          <w:szCs w:val="24"/>
          <w:lang w:val="en-GB"/>
        </w:rPr>
        <w:t>center</w:t>
      </w:r>
      <w:proofErr w:type="spellEnd"/>
      <w:r w:rsidRPr="002C30D6">
        <w:rPr>
          <w:color w:val="auto"/>
          <w:sz w:val="24"/>
          <w:szCs w:val="24"/>
          <w:lang w:val="en-GB"/>
        </w:rPr>
        <w:t xml:space="preserve"> as a community where the older adults from the BS3 neighbourhood meet each day; men represent 13% of active participants. The </w:t>
      </w:r>
      <w:proofErr w:type="spellStart"/>
      <w:r w:rsidRPr="002C30D6">
        <w:rPr>
          <w:color w:val="auto"/>
          <w:sz w:val="24"/>
          <w:szCs w:val="24"/>
          <w:lang w:val="en-GB"/>
        </w:rPr>
        <w:t>center</w:t>
      </w:r>
      <w:proofErr w:type="spellEnd"/>
      <w:r w:rsidRPr="002C30D6">
        <w:rPr>
          <w:color w:val="auto"/>
          <w:sz w:val="24"/>
          <w:szCs w:val="24"/>
          <w:lang w:val="en-GB"/>
        </w:rPr>
        <w:t xml:space="preserve"> was defined as an inclusive, rich, and encouraging space with free-of-charge activities where it is possible to go beyond individualism and loneliness and to grow by involvement, interaction, joint activities, discussion, intergenerational cooperation, etc., which is achieved mainly through participatory approaches in the choosing and implementation of the program. By contrast, the settlement BS3, including individual apartment buildings, is alienated and distinctly separated, as is typical for Ljubljana. A number of options that older men have in the immediate environment and to which the DCA encourages them to, have been highlighted. Among the most pressing problems in the community were: a) financial distress (especially regarding health care, maintenance of own housing, shameful pensions and poverty in general, which only makes it possible for them to participate in free activities and nowhere else); b) health care (waiting periods, payable health services, etc.); c) functional literacy (reading doctor referrals and instructions for taking medicines), d) isolation, solitude and dementia; e) retirement as a dead point (becoming a nobody). Participants indicated a range of initiatives and examples of good practices that the country should support with additional or new funding, opportunities, information and approaches to older men: the potential of retired professionals; the potential of older men in community and voluntary work (including physical work, if they were professionally defined by it). </w:t>
      </w:r>
    </w:p>
    <w:p w:rsidR="00756C0B" w:rsidRDefault="002930CA" w:rsidP="002D195C">
      <w:pPr>
        <w:spacing w:before="0" w:after="120" w:line="276" w:lineRule="auto"/>
        <w:jc w:val="both"/>
        <w:rPr>
          <w:rFonts w:cs="Times New Roman"/>
          <w:color w:val="auto"/>
          <w:sz w:val="24"/>
          <w:szCs w:val="24"/>
          <w:lang w:val="en-GB"/>
        </w:rPr>
      </w:pPr>
      <w:r w:rsidRPr="002C30D6">
        <w:rPr>
          <w:b/>
          <w:color w:val="auto"/>
          <w:sz w:val="24"/>
          <w:szCs w:val="24"/>
          <w:lang w:val="en-GB"/>
        </w:rPr>
        <w:t xml:space="preserve">The focus group participants in </w:t>
      </w:r>
      <w:proofErr w:type="spellStart"/>
      <w:r w:rsidRPr="002C30D6">
        <w:rPr>
          <w:b/>
          <w:color w:val="auto"/>
          <w:sz w:val="24"/>
          <w:szCs w:val="24"/>
          <w:lang w:val="en-GB"/>
        </w:rPr>
        <w:t>Ajdovščina</w:t>
      </w:r>
      <w:proofErr w:type="spellEnd"/>
      <w:r w:rsidRPr="002C30D6">
        <w:rPr>
          <w:b/>
          <w:color w:val="auto"/>
          <w:sz w:val="24"/>
          <w:szCs w:val="24"/>
          <w:lang w:val="en-GB"/>
        </w:rPr>
        <w:t xml:space="preserve"> (FG3) </w:t>
      </w:r>
      <w:r w:rsidRPr="002C30D6">
        <w:rPr>
          <w:color w:val="auto"/>
          <w:sz w:val="24"/>
          <w:szCs w:val="24"/>
          <w:lang w:val="en-GB"/>
        </w:rPr>
        <w:t>defined their social environment</w:t>
      </w:r>
      <w:r w:rsidRPr="002C30D6">
        <w:rPr>
          <w:b/>
          <w:color w:val="auto"/>
          <w:sz w:val="24"/>
          <w:szCs w:val="24"/>
          <w:lang w:val="en-GB"/>
        </w:rPr>
        <w:t xml:space="preserve"> </w:t>
      </w:r>
      <w:r w:rsidRPr="002C30D6">
        <w:rPr>
          <w:rFonts w:cs="Times New Roman"/>
          <w:color w:val="auto"/>
          <w:sz w:val="24"/>
          <w:szCs w:val="24"/>
          <w:lang w:val="en-GB"/>
        </w:rPr>
        <w:t>through: a) sociological aspects and societal values (co-decision, active participation, solidarity, cooperation, connectedness, mutual support etc.) and not through economic deprivation that they faced in the last years; b) the most vulnerable populations (including older adults, migrants, and refugees) and survival strategies with the emphasis on the poverty of widows, never employed housewives, and farmers; c) and emphasized creativity as an important contribution of older adults to the community development. Problems, challenges and visions for the dignified life of older adults and their quality of life have been discussed particularly through different aspects of mobility and care and with the recognition that older adults do need a better access to information regarding social, cultural and other activities. Opportunities for communities of practice have been mostly seen a) in already existing and diverse educational and training programs; b) in informing and raising awareness about them for older men; and c) in considering alternative activities for older men in their later life. In this regard the emphasis was also on the importance of raising older men's awareness of the advantage of finding new social environments already in the retirement process. Their willingness to transfer good practices to their local envi</w:t>
      </w:r>
      <w:r w:rsidR="00AA5F07">
        <w:rPr>
          <w:rFonts w:cs="Times New Roman"/>
          <w:color w:val="auto"/>
          <w:sz w:val="24"/>
          <w:szCs w:val="24"/>
          <w:lang w:val="en-GB"/>
        </w:rPr>
        <w:t xml:space="preserve">ronment was strongly expressed </w:t>
      </w:r>
      <w:r w:rsidR="000C277A" w:rsidRPr="002C30D6">
        <w:rPr>
          <w:rFonts w:cs="Times New Roman"/>
          <w:color w:val="auto"/>
          <w:sz w:val="24"/>
          <w:szCs w:val="24"/>
          <w:lang w:val="en-GB"/>
        </w:rPr>
        <w:t xml:space="preserve">(see </w:t>
      </w:r>
      <w:proofErr w:type="spellStart"/>
      <w:r w:rsidR="000C277A" w:rsidRPr="002C30D6">
        <w:rPr>
          <w:rFonts w:cs="Times New Roman"/>
          <w:color w:val="auto"/>
          <w:sz w:val="24"/>
          <w:szCs w:val="24"/>
          <w:lang w:val="en-GB"/>
        </w:rPr>
        <w:t>Gregorčič</w:t>
      </w:r>
      <w:proofErr w:type="spellEnd"/>
      <w:r w:rsidR="000C277A" w:rsidRPr="002C30D6">
        <w:rPr>
          <w:rFonts w:cs="Times New Roman"/>
          <w:color w:val="auto"/>
          <w:sz w:val="24"/>
          <w:szCs w:val="24"/>
          <w:lang w:val="en-GB"/>
        </w:rPr>
        <w:t>, 2017)</w:t>
      </w:r>
      <w:r w:rsidR="00AA5F07">
        <w:rPr>
          <w:rFonts w:cs="Times New Roman"/>
          <w:color w:val="auto"/>
          <w:sz w:val="24"/>
          <w:szCs w:val="24"/>
          <w:lang w:val="en-GB"/>
        </w:rPr>
        <w:t>.</w:t>
      </w:r>
    </w:p>
    <w:p w:rsidR="007001BD" w:rsidRPr="002C30D6" w:rsidRDefault="00EB6C15">
      <w:pPr>
        <w:pStyle w:val="nagwek1"/>
        <w:rPr>
          <w:rFonts w:asciiTheme="minorHAnsi" w:hAnsiTheme="minorHAnsi"/>
          <w:b/>
          <w:sz w:val="24"/>
          <w:szCs w:val="24"/>
          <w:lang w:val="en-GB"/>
        </w:rPr>
      </w:pPr>
      <w:r w:rsidRPr="002C30D6">
        <w:rPr>
          <w:rFonts w:asciiTheme="minorHAnsi" w:hAnsiTheme="minorHAnsi"/>
          <w:b/>
          <w:sz w:val="24"/>
          <w:szCs w:val="24"/>
          <w:lang w:val="en-GB"/>
        </w:rPr>
        <w:lastRenderedPageBreak/>
        <w:t>5</w:t>
      </w:r>
      <w:r w:rsidR="00A03E9A" w:rsidRPr="002C30D6">
        <w:rPr>
          <w:rFonts w:asciiTheme="minorHAnsi" w:hAnsiTheme="minorHAnsi"/>
          <w:b/>
          <w:sz w:val="24"/>
          <w:szCs w:val="24"/>
          <w:lang w:val="en-GB"/>
        </w:rPr>
        <w:t xml:space="preserve"> </w:t>
      </w:r>
      <w:r w:rsidR="00346D08" w:rsidRPr="002C30D6">
        <w:rPr>
          <w:rFonts w:asciiTheme="minorHAnsi" w:hAnsiTheme="minorHAnsi"/>
          <w:b/>
          <w:sz w:val="24"/>
          <w:szCs w:val="24"/>
          <w:lang w:val="en-GB"/>
        </w:rPr>
        <w:t xml:space="preserve">General </w:t>
      </w:r>
      <w:r w:rsidR="002C689C" w:rsidRPr="002C30D6">
        <w:rPr>
          <w:rFonts w:asciiTheme="minorHAnsi" w:hAnsiTheme="minorHAnsi"/>
          <w:b/>
          <w:sz w:val="24"/>
          <w:szCs w:val="24"/>
          <w:lang w:val="en-GB"/>
        </w:rPr>
        <w:t>RECOMMENDATION</w:t>
      </w:r>
      <w:r w:rsidR="00346D08" w:rsidRPr="002C30D6">
        <w:rPr>
          <w:rFonts w:asciiTheme="minorHAnsi" w:hAnsiTheme="minorHAnsi"/>
          <w:b/>
          <w:sz w:val="24"/>
          <w:szCs w:val="24"/>
          <w:lang w:val="en-GB"/>
        </w:rPr>
        <w:t>s for LoCAL COMMUNITY AUTHORITIES AND GOVERNAMENTAL INSTITUTIONS IN sLOVENIA</w:t>
      </w:r>
    </w:p>
    <w:p w:rsidR="00A03E9A" w:rsidRPr="002C30D6" w:rsidRDefault="00A03E9A" w:rsidP="00A03E9A">
      <w:pPr>
        <w:spacing w:line="276" w:lineRule="auto"/>
        <w:jc w:val="both"/>
        <w:rPr>
          <w:color w:val="auto"/>
          <w:sz w:val="24"/>
          <w:szCs w:val="24"/>
          <w:lang w:val="en-GB"/>
        </w:rPr>
      </w:pPr>
      <w:r w:rsidRPr="002C30D6">
        <w:rPr>
          <w:color w:val="auto"/>
          <w:sz w:val="24"/>
          <w:szCs w:val="24"/>
          <w:lang w:val="en-GB"/>
        </w:rPr>
        <w:t xml:space="preserve">1) In the framework of national strategies and preparing action plans by different ministries, local </w:t>
      </w:r>
      <w:r w:rsidR="00346D08" w:rsidRPr="002C30D6">
        <w:rPr>
          <w:color w:val="auto"/>
          <w:sz w:val="24"/>
          <w:szCs w:val="24"/>
          <w:lang w:val="en-GB"/>
        </w:rPr>
        <w:t xml:space="preserve">and national </w:t>
      </w:r>
      <w:r w:rsidRPr="002C30D6">
        <w:rPr>
          <w:color w:val="auto"/>
          <w:sz w:val="24"/>
          <w:szCs w:val="24"/>
          <w:lang w:val="en-GB"/>
        </w:rPr>
        <w:t xml:space="preserve">authorities should support implementation of legislation that tackles: </w:t>
      </w:r>
    </w:p>
    <w:p w:rsidR="00A03E9A" w:rsidRPr="002C30D6" w:rsidRDefault="00101976" w:rsidP="00A03E9A">
      <w:pPr>
        <w:spacing w:line="276" w:lineRule="auto"/>
        <w:ind w:left="709"/>
        <w:jc w:val="both"/>
        <w:rPr>
          <w:color w:val="auto"/>
          <w:sz w:val="24"/>
          <w:szCs w:val="24"/>
          <w:lang w:val="en-GB"/>
        </w:rPr>
      </w:pPr>
      <w:r w:rsidRPr="002C30D6">
        <w:rPr>
          <w:color w:val="auto"/>
          <w:sz w:val="24"/>
          <w:szCs w:val="24"/>
          <w:lang w:val="en-GB"/>
        </w:rPr>
        <w:t xml:space="preserve">a) </w:t>
      </w:r>
      <w:proofErr w:type="gramStart"/>
      <w:r w:rsidR="00A03E9A" w:rsidRPr="002C30D6">
        <w:rPr>
          <w:b/>
          <w:color w:val="auto"/>
          <w:sz w:val="24"/>
          <w:szCs w:val="24"/>
          <w:lang w:val="en-GB"/>
        </w:rPr>
        <w:t>financial</w:t>
      </w:r>
      <w:proofErr w:type="gramEnd"/>
      <w:r w:rsidR="00A03E9A" w:rsidRPr="002C30D6">
        <w:rPr>
          <w:b/>
          <w:color w:val="auto"/>
          <w:sz w:val="24"/>
          <w:szCs w:val="24"/>
          <w:lang w:val="en-GB"/>
        </w:rPr>
        <w:t xml:space="preserve"> and material vulnerability of older people, </w:t>
      </w:r>
    </w:p>
    <w:p w:rsidR="00A03E9A" w:rsidRPr="002C30D6" w:rsidRDefault="00101976" w:rsidP="00A03E9A">
      <w:pPr>
        <w:spacing w:line="276" w:lineRule="auto"/>
        <w:ind w:left="709"/>
        <w:jc w:val="both"/>
        <w:rPr>
          <w:color w:val="auto"/>
          <w:sz w:val="24"/>
          <w:szCs w:val="24"/>
          <w:lang w:val="en-GB"/>
        </w:rPr>
      </w:pPr>
      <w:r w:rsidRPr="002C30D6">
        <w:rPr>
          <w:color w:val="auto"/>
          <w:sz w:val="24"/>
          <w:szCs w:val="24"/>
          <w:lang w:val="en-GB"/>
        </w:rPr>
        <w:t xml:space="preserve">b) </w:t>
      </w:r>
      <w:proofErr w:type="gramStart"/>
      <w:r w:rsidR="00A03E9A" w:rsidRPr="002C30D6">
        <w:rPr>
          <w:color w:val="auto"/>
          <w:sz w:val="24"/>
          <w:szCs w:val="24"/>
          <w:lang w:val="en-GB"/>
        </w:rPr>
        <w:t>high</w:t>
      </w:r>
      <w:proofErr w:type="gramEnd"/>
      <w:r w:rsidR="00A03E9A" w:rsidRPr="002C30D6">
        <w:rPr>
          <w:color w:val="auto"/>
          <w:sz w:val="24"/>
          <w:szCs w:val="24"/>
          <w:lang w:val="en-GB"/>
        </w:rPr>
        <w:t xml:space="preserve"> at-risk-of-poverty, </w:t>
      </w:r>
    </w:p>
    <w:p w:rsidR="00A03E9A" w:rsidRPr="002C30D6" w:rsidRDefault="00101976" w:rsidP="00A03E9A">
      <w:pPr>
        <w:spacing w:line="276" w:lineRule="auto"/>
        <w:ind w:left="709"/>
        <w:jc w:val="both"/>
        <w:rPr>
          <w:color w:val="auto"/>
          <w:sz w:val="24"/>
          <w:szCs w:val="24"/>
          <w:lang w:val="en-GB"/>
        </w:rPr>
      </w:pPr>
      <w:r w:rsidRPr="002C30D6">
        <w:rPr>
          <w:color w:val="auto"/>
          <w:sz w:val="24"/>
          <w:szCs w:val="24"/>
          <w:lang w:val="en-GB"/>
        </w:rPr>
        <w:t xml:space="preserve">c) </w:t>
      </w:r>
      <w:proofErr w:type="gramStart"/>
      <w:r w:rsidR="00A03E9A" w:rsidRPr="002C30D6">
        <w:rPr>
          <w:color w:val="auto"/>
          <w:sz w:val="24"/>
          <w:szCs w:val="24"/>
          <w:lang w:val="en-GB"/>
        </w:rPr>
        <w:t>spatial</w:t>
      </w:r>
      <w:proofErr w:type="gramEnd"/>
      <w:r w:rsidR="00A03E9A" w:rsidRPr="002C30D6">
        <w:rPr>
          <w:color w:val="auto"/>
          <w:sz w:val="24"/>
          <w:szCs w:val="24"/>
          <w:lang w:val="en-GB"/>
        </w:rPr>
        <w:t xml:space="preserve"> exclusion, </w:t>
      </w:r>
    </w:p>
    <w:p w:rsidR="00A03E9A" w:rsidRPr="002C30D6" w:rsidRDefault="00101976" w:rsidP="00A03E9A">
      <w:pPr>
        <w:spacing w:line="276" w:lineRule="auto"/>
        <w:ind w:left="709"/>
        <w:jc w:val="both"/>
        <w:rPr>
          <w:color w:val="auto"/>
          <w:sz w:val="24"/>
          <w:szCs w:val="24"/>
          <w:lang w:val="en-GB"/>
        </w:rPr>
      </w:pPr>
      <w:r w:rsidRPr="002C30D6">
        <w:rPr>
          <w:color w:val="auto"/>
          <w:sz w:val="24"/>
          <w:szCs w:val="24"/>
          <w:lang w:val="en-GB"/>
        </w:rPr>
        <w:t xml:space="preserve">d) </w:t>
      </w:r>
      <w:proofErr w:type="gramStart"/>
      <w:r w:rsidR="00A03E9A" w:rsidRPr="002C30D6">
        <w:rPr>
          <w:color w:val="auto"/>
          <w:sz w:val="24"/>
          <w:szCs w:val="24"/>
          <w:lang w:val="en-GB"/>
        </w:rPr>
        <w:t>labour</w:t>
      </w:r>
      <w:proofErr w:type="gramEnd"/>
      <w:r w:rsidR="00A03E9A" w:rsidRPr="002C30D6">
        <w:rPr>
          <w:color w:val="auto"/>
          <w:sz w:val="24"/>
          <w:szCs w:val="24"/>
          <w:lang w:val="en-GB"/>
        </w:rPr>
        <w:t xml:space="preserve">, social and political participation among the older people, as well as </w:t>
      </w:r>
    </w:p>
    <w:p w:rsidR="00A03E9A" w:rsidRPr="002C30D6" w:rsidRDefault="00101976" w:rsidP="00A03E9A">
      <w:pPr>
        <w:spacing w:line="276" w:lineRule="auto"/>
        <w:ind w:left="709"/>
        <w:jc w:val="both"/>
        <w:rPr>
          <w:color w:val="auto"/>
          <w:sz w:val="24"/>
          <w:szCs w:val="24"/>
          <w:lang w:val="en-GB"/>
        </w:rPr>
      </w:pPr>
      <w:r w:rsidRPr="002C30D6">
        <w:rPr>
          <w:color w:val="auto"/>
          <w:sz w:val="24"/>
          <w:szCs w:val="24"/>
          <w:lang w:val="en-GB"/>
        </w:rPr>
        <w:t xml:space="preserve">e) </w:t>
      </w:r>
      <w:proofErr w:type="gramStart"/>
      <w:r w:rsidR="00A03E9A" w:rsidRPr="002C30D6">
        <w:rPr>
          <w:color w:val="auto"/>
          <w:sz w:val="24"/>
          <w:szCs w:val="24"/>
          <w:lang w:val="en-GB"/>
        </w:rPr>
        <w:t>greater</w:t>
      </w:r>
      <w:proofErr w:type="gramEnd"/>
      <w:r w:rsidR="00A03E9A" w:rsidRPr="002C30D6">
        <w:rPr>
          <w:color w:val="auto"/>
          <w:sz w:val="24"/>
          <w:szCs w:val="24"/>
          <w:lang w:val="en-GB"/>
        </w:rPr>
        <w:t xml:space="preserve"> intergenerational cooperation, and</w:t>
      </w:r>
    </w:p>
    <w:p w:rsidR="00A03E9A" w:rsidRPr="002C30D6" w:rsidRDefault="00101976" w:rsidP="00101976">
      <w:pPr>
        <w:spacing w:after="120" w:line="276" w:lineRule="auto"/>
        <w:ind w:left="709"/>
        <w:jc w:val="both"/>
        <w:rPr>
          <w:color w:val="auto"/>
          <w:sz w:val="24"/>
          <w:szCs w:val="24"/>
          <w:lang w:val="en-GB"/>
        </w:rPr>
      </w:pPr>
      <w:r w:rsidRPr="002C30D6">
        <w:rPr>
          <w:color w:val="auto"/>
          <w:sz w:val="24"/>
          <w:szCs w:val="24"/>
          <w:lang w:val="en-GB"/>
        </w:rPr>
        <w:t xml:space="preserve">f) </w:t>
      </w:r>
      <w:proofErr w:type="gramStart"/>
      <w:r w:rsidR="00A03E9A" w:rsidRPr="002C30D6">
        <w:rPr>
          <w:color w:val="auto"/>
          <w:sz w:val="24"/>
          <w:szCs w:val="24"/>
          <w:lang w:val="en-GB"/>
        </w:rPr>
        <w:t>appropriate</w:t>
      </w:r>
      <w:proofErr w:type="gramEnd"/>
      <w:r w:rsidR="00A03E9A" w:rsidRPr="002C30D6">
        <w:rPr>
          <w:color w:val="auto"/>
          <w:sz w:val="24"/>
          <w:szCs w:val="24"/>
          <w:lang w:val="en-GB"/>
        </w:rPr>
        <w:t xml:space="preserve"> supportive environments for socialising and learning of older people (especially men 60+). </w:t>
      </w:r>
    </w:p>
    <w:p w:rsidR="00A03E9A" w:rsidRPr="002C30D6" w:rsidRDefault="00A03E9A" w:rsidP="00101976">
      <w:pPr>
        <w:spacing w:after="120" w:line="276" w:lineRule="auto"/>
        <w:jc w:val="both"/>
        <w:rPr>
          <w:color w:val="auto"/>
          <w:sz w:val="24"/>
          <w:szCs w:val="24"/>
          <w:lang w:val="en-GB"/>
        </w:rPr>
      </w:pPr>
      <w:r w:rsidRPr="002C30D6">
        <w:rPr>
          <w:color w:val="auto"/>
          <w:sz w:val="24"/>
          <w:szCs w:val="24"/>
          <w:lang w:val="en-GB"/>
        </w:rPr>
        <w:t xml:space="preserve">2) Because retirement is </w:t>
      </w:r>
      <w:r w:rsidRPr="002C30D6">
        <w:rPr>
          <w:b/>
          <w:color w:val="auto"/>
          <w:sz w:val="24"/>
          <w:szCs w:val="24"/>
          <w:lang w:val="en-GB"/>
        </w:rPr>
        <w:t>a critical stage in life</w:t>
      </w:r>
      <w:r w:rsidRPr="002C30D6">
        <w:rPr>
          <w:color w:val="auto"/>
          <w:sz w:val="24"/>
          <w:szCs w:val="24"/>
          <w:lang w:val="en-GB"/>
        </w:rPr>
        <w:t xml:space="preserve"> that the elderly (and especially men) are not prepared for, and because Slovenia has cancelled formal retirement preparation programs, </w:t>
      </w:r>
      <w:r w:rsidRPr="002C30D6">
        <w:rPr>
          <w:b/>
          <w:color w:val="auto"/>
          <w:sz w:val="24"/>
          <w:szCs w:val="24"/>
          <w:lang w:val="en-GB"/>
        </w:rPr>
        <w:t>programs aiming to prepare the elderly for old age and give meaning to old age</w:t>
      </w:r>
      <w:r w:rsidRPr="002C30D6">
        <w:rPr>
          <w:color w:val="auto"/>
          <w:sz w:val="24"/>
          <w:szCs w:val="24"/>
          <w:lang w:val="en-GB"/>
        </w:rPr>
        <w:t xml:space="preserve"> to those in the second stage of life (not just before retirement, but rather significantly earlier) should be promoted within public institutions and through NGOs. Young people should also be informed and educated about the process of ageing and about old age; the research has shown that activities in the first two life stages decisively determine cognitive, social and cultural capital in the third and fourth life stages. At the same time, this would encourage the wider society (and not just among older adults) to change the traditional and stereotypical views of old age and ageing. </w:t>
      </w:r>
    </w:p>
    <w:p w:rsidR="00A03E9A" w:rsidRPr="002C30D6" w:rsidRDefault="00A03E9A" w:rsidP="00101976">
      <w:pPr>
        <w:spacing w:after="120" w:line="276" w:lineRule="auto"/>
        <w:jc w:val="both"/>
        <w:rPr>
          <w:color w:val="auto"/>
          <w:sz w:val="24"/>
          <w:szCs w:val="24"/>
          <w:lang w:val="en-GB"/>
        </w:rPr>
      </w:pPr>
      <w:r w:rsidRPr="002C30D6">
        <w:rPr>
          <w:color w:val="auto"/>
          <w:sz w:val="24"/>
          <w:szCs w:val="24"/>
          <w:lang w:val="en-GB"/>
        </w:rPr>
        <w:t xml:space="preserve">3) Instead of forced and early retirement (ZUJF law, etc.), </w:t>
      </w:r>
      <w:r w:rsidRPr="002C30D6">
        <w:rPr>
          <w:b/>
          <w:color w:val="auto"/>
          <w:sz w:val="24"/>
          <w:szCs w:val="24"/>
          <w:lang w:val="en-GB"/>
        </w:rPr>
        <w:t>practices for a gradual transition to retirement</w:t>
      </w:r>
      <w:r w:rsidRPr="002C30D6">
        <w:rPr>
          <w:color w:val="auto"/>
          <w:sz w:val="24"/>
          <w:szCs w:val="24"/>
          <w:lang w:val="en-GB"/>
        </w:rPr>
        <w:t xml:space="preserve"> (partial retirement, retirement with the possibility of occasional (non)formal participation, etc.) should be developed and aimed at any individual with motivation and interest in continuing employment or work. Good examples of encouraging positive perception of productivity (highly important for men) and creativity (highly important for women) could be done within public institutions (city, municipal, public institutions). </w:t>
      </w:r>
      <w:r w:rsidRPr="002C30D6">
        <w:rPr>
          <w:b/>
          <w:color w:val="auto"/>
          <w:sz w:val="24"/>
          <w:szCs w:val="24"/>
          <w:lang w:val="en-GB"/>
        </w:rPr>
        <w:t>Inclusive longevity society could be developed</w:t>
      </w:r>
      <w:r w:rsidRPr="002C30D6">
        <w:rPr>
          <w:color w:val="auto"/>
          <w:sz w:val="24"/>
          <w:szCs w:val="24"/>
          <w:lang w:val="en-GB"/>
        </w:rPr>
        <w:t xml:space="preserve"> through practices of old-new career; involving the elderly in mentoring, training, mediation, development, strategic, motivational, etc. roles/working groups/programs of institutions and companies; gradual replacement of 'careers of male domination', ‘identity of a functionary’, etc. At national level, laws should be drawn up </w:t>
      </w:r>
      <w:r w:rsidRPr="002C30D6">
        <w:rPr>
          <w:b/>
          <w:color w:val="auto"/>
          <w:sz w:val="24"/>
          <w:szCs w:val="24"/>
          <w:lang w:val="en-GB"/>
        </w:rPr>
        <w:t>to institutionalise gradual/partial retirement practices, 'silver economy',</w:t>
      </w:r>
      <w:r w:rsidRPr="002C30D6">
        <w:rPr>
          <w:color w:val="auto"/>
          <w:sz w:val="24"/>
          <w:szCs w:val="24"/>
          <w:lang w:val="en-GB"/>
        </w:rPr>
        <w:t xml:space="preserve"> and to encourage economic integration of the elderly, etc. Organisations that develop 'partnerships' with older adults should be financially supported. </w:t>
      </w:r>
    </w:p>
    <w:p w:rsidR="00A03E9A" w:rsidRPr="002C30D6" w:rsidRDefault="00A03E9A" w:rsidP="00101976">
      <w:pPr>
        <w:spacing w:after="120" w:line="276" w:lineRule="auto"/>
        <w:jc w:val="both"/>
        <w:rPr>
          <w:color w:val="auto"/>
          <w:sz w:val="24"/>
          <w:szCs w:val="24"/>
          <w:lang w:val="en-GB"/>
        </w:rPr>
      </w:pPr>
      <w:r w:rsidRPr="002C30D6">
        <w:rPr>
          <w:color w:val="auto"/>
          <w:sz w:val="24"/>
          <w:szCs w:val="24"/>
          <w:lang w:val="en-GB"/>
        </w:rPr>
        <w:t xml:space="preserve">4) Despite our awareness of predictable demographic changes, we are facing an intense process of a) marginalisation (especially of impoverishment) of the elderly and b) disappearance of the elderly (especially men) from community due to self-isolation, uselessness, needlessness in contemporary way of life. Because of that, </w:t>
      </w:r>
      <w:r w:rsidRPr="002C30D6">
        <w:rPr>
          <w:b/>
          <w:color w:val="auto"/>
          <w:sz w:val="24"/>
          <w:szCs w:val="24"/>
          <w:lang w:val="en-GB"/>
        </w:rPr>
        <w:t>local communities should develop more democratic and participatory processes for involvement of older adults</w:t>
      </w:r>
      <w:r w:rsidRPr="002C30D6">
        <w:rPr>
          <w:color w:val="auto"/>
          <w:sz w:val="24"/>
          <w:szCs w:val="24"/>
          <w:lang w:val="en-GB"/>
        </w:rPr>
        <w:t xml:space="preserve"> in consultation and other practices that would enable them to contribute to </w:t>
      </w:r>
      <w:r w:rsidRPr="002C30D6">
        <w:rPr>
          <w:color w:val="auto"/>
          <w:sz w:val="24"/>
          <w:szCs w:val="24"/>
          <w:lang w:val="en-GB"/>
        </w:rPr>
        <w:lastRenderedPageBreak/>
        <w:t xml:space="preserve">the community (including working, cleaning and other community actions): </w:t>
      </w:r>
      <w:proofErr w:type="spellStart"/>
      <w:r w:rsidRPr="002C30D6">
        <w:rPr>
          <w:color w:val="auto"/>
          <w:sz w:val="24"/>
          <w:szCs w:val="24"/>
          <w:lang w:val="en-GB"/>
        </w:rPr>
        <w:t>Ajdovšina</w:t>
      </w:r>
      <w:proofErr w:type="spellEnd"/>
      <w:r w:rsidR="00E458FA" w:rsidRPr="002C30D6">
        <w:rPr>
          <w:color w:val="auto"/>
          <w:sz w:val="24"/>
          <w:szCs w:val="24"/>
          <w:lang w:val="en-GB"/>
        </w:rPr>
        <w:t xml:space="preserve"> (as well as self-organised communities with high participation of older people</w:t>
      </w:r>
      <w:r w:rsidR="00E15411" w:rsidRPr="002C30D6">
        <w:rPr>
          <w:color w:val="auto"/>
          <w:sz w:val="24"/>
          <w:szCs w:val="24"/>
          <w:lang w:val="en-GB"/>
        </w:rPr>
        <w:t xml:space="preserve"> in Maribor</w:t>
      </w:r>
      <w:r w:rsidR="00E458FA" w:rsidRPr="002C30D6">
        <w:rPr>
          <w:color w:val="auto"/>
          <w:sz w:val="24"/>
          <w:szCs w:val="24"/>
          <w:lang w:val="en-GB"/>
        </w:rPr>
        <w:t>, mostly men)</w:t>
      </w:r>
      <w:r w:rsidRPr="002C30D6">
        <w:rPr>
          <w:color w:val="auto"/>
          <w:sz w:val="24"/>
          <w:szCs w:val="24"/>
          <w:lang w:val="en-GB"/>
        </w:rPr>
        <w:t xml:space="preserve"> is already developing in this direction with its participatory budget (PB), which should be strengthened further (also by more active involvement of older men); in Ljubljana-</w:t>
      </w:r>
      <w:proofErr w:type="spellStart"/>
      <w:r w:rsidRPr="002C30D6">
        <w:rPr>
          <w:color w:val="auto"/>
          <w:sz w:val="24"/>
          <w:szCs w:val="24"/>
          <w:lang w:val="en-GB"/>
        </w:rPr>
        <w:t>Bežigrad</w:t>
      </w:r>
      <w:proofErr w:type="spellEnd"/>
      <w:r w:rsidRPr="002C30D6">
        <w:rPr>
          <w:color w:val="auto"/>
          <w:sz w:val="24"/>
          <w:szCs w:val="24"/>
          <w:lang w:val="en-GB"/>
        </w:rPr>
        <w:t>, where the interest and need for suggesting proposals, discussion, political involvement and co-decision were the most prominent, the development of PBs or similar deliberative practices in which the elderly (men) could also achieve their highly emphasised democratic and collaborative ambitions should be considered.</w:t>
      </w:r>
    </w:p>
    <w:p w:rsidR="00A03E9A" w:rsidRPr="002C30D6" w:rsidRDefault="00A03E9A" w:rsidP="00101976">
      <w:pPr>
        <w:spacing w:after="120" w:line="276" w:lineRule="auto"/>
        <w:jc w:val="both"/>
        <w:rPr>
          <w:color w:val="auto"/>
          <w:sz w:val="24"/>
          <w:szCs w:val="24"/>
          <w:lang w:val="en-GB"/>
        </w:rPr>
      </w:pPr>
      <w:r w:rsidRPr="002C30D6">
        <w:rPr>
          <w:color w:val="auto"/>
          <w:sz w:val="24"/>
          <w:szCs w:val="24"/>
          <w:lang w:val="en-GB"/>
        </w:rPr>
        <w:t xml:space="preserve">5) </w:t>
      </w:r>
      <w:r w:rsidRPr="002C30D6">
        <w:rPr>
          <w:b/>
          <w:color w:val="auto"/>
          <w:sz w:val="24"/>
          <w:szCs w:val="24"/>
          <w:lang w:val="en-GB"/>
        </w:rPr>
        <w:t>Educational and other integration and intergenerational programs</w:t>
      </w:r>
      <w:r w:rsidRPr="002C30D6">
        <w:rPr>
          <w:color w:val="auto"/>
          <w:sz w:val="24"/>
          <w:szCs w:val="24"/>
          <w:lang w:val="en-GB"/>
        </w:rPr>
        <w:t xml:space="preserve"> and projects within the non-governmental sector - which already create diverse opportunities for active engagement of older adults - </w:t>
      </w:r>
      <w:r w:rsidRPr="002C30D6">
        <w:rPr>
          <w:b/>
          <w:color w:val="auto"/>
          <w:sz w:val="24"/>
          <w:szCs w:val="24"/>
          <w:lang w:val="en-GB"/>
        </w:rPr>
        <w:t>should be financially supported and strengthened</w:t>
      </w:r>
      <w:r w:rsidRPr="002C30D6">
        <w:rPr>
          <w:color w:val="auto"/>
          <w:sz w:val="24"/>
          <w:szCs w:val="24"/>
          <w:lang w:val="en-GB"/>
        </w:rPr>
        <w:t xml:space="preserve">; at the same time, additional financial incentives should be provided for projects that will a) address and eliminate high social, emotional, and other dependence of elderly men on their wives (and families); b) inform about the importance of social networks and social capital for health and quality old age; c) develop programs to increase community support in understanding the ageing process as well as develop social networks that help overcome age-related difficulties. In order to achieve this, it is necessary </w:t>
      </w:r>
      <w:r w:rsidRPr="002C30D6">
        <w:rPr>
          <w:b/>
          <w:color w:val="auto"/>
          <w:sz w:val="24"/>
          <w:szCs w:val="24"/>
          <w:lang w:val="en-GB"/>
        </w:rPr>
        <w:t>to connect, strengthen and upgrade local caretaking institutions and services</w:t>
      </w:r>
      <w:r w:rsidRPr="002C30D6">
        <w:rPr>
          <w:color w:val="auto"/>
          <w:sz w:val="24"/>
          <w:szCs w:val="24"/>
          <w:lang w:val="en-GB"/>
        </w:rPr>
        <w:t xml:space="preserve"> (functional literacy, help with daily tasks and disability, etc.) which serve older adults; establish informational points and systems for informing about/coordination of activities, existing assistance, services, etc. for the elderly on local level; develop (men) support groups; men sheds (men workshops), multigenerational residential forms, etc.</w:t>
      </w:r>
    </w:p>
    <w:p w:rsidR="00A03E9A" w:rsidRPr="002C30D6" w:rsidRDefault="00A03E9A" w:rsidP="00101976">
      <w:pPr>
        <w:spacing w:after="120" w:line="276" w:lineRule="auto"/>
        <w:jc w:val="both"/>
        <w:rPr>
          <w:color w:val="auto"/>
          <w:sz w:val="24"/>
          <w:szCs w:val="24"/>
          <w:lang w:val="en-GB"/>
        </w:rPr>
      </w:pPr>
      <w:r w:rsidRPr="002C30D6">
        <w:rPr>
          <w:color w:val="auto"/>
          <w:sz w:val="24"/>
          <w:szCs w:val="24"/>
          <w:lang w:val="en-GB"/>
        </w:rPr>
        <w:t xml:space="preserve">6) </w:t>
      </w:r>
      <w:r w:rsidRPr="002C30D6">
        <w:rPr>
          <w:b/>
          <w:color w:val="auto"/>
          <w:sz w:val="24"/>
          <w:szCs w:val="24"/>
          <w:lang w:val="en-GB"/>
        </w:rPr>
        <w:t>Accessibility to quality services, adequate public infrastructure and mobility</w:t>
      </w:r>
      <w:r w:rsidRPr="002C30D6">
        <w:rPr>
          <w:color w:val="auto"/>
          <w:sz w:val="24"/>
          <w:szCs w:val="24"/>
          <w:lang w:val="en-GB"/>
        </w:rPr>
        <w:t xml:space="preserve"> have become a major technical (and, above all, financial) obstacle for older adults with the degradation of welfare/social state, which has a significant impact on their quality of life; certain necessary services have become payable, while access to institutions and mobility in general is often inadequate. The research has shown that older men highly value the independence and autonomy that defined them in their working life, and thus we need to identify specific obstacles that prevent older adults from adequate access and mobility (pavements, bicycle lanes, benches at bus stops and along walking routes, car parks near health </w:t>
      </w:r>
      <w:proofErr w:type="spellStart"/>
      <w:r w:rsidRPr="002C30D6">
        <w:rPr>
          <w:color w:val="auto"/>
          <w:sz w:val="24"/>
          <w:szCs w:val="24"/>
          <w:lang w:val="en-GB"/>
        </w:rPr>
        <w:t>centers</w:t>
      </w:r>
      <w:proofErr w:type="spellEnd"/>
      <w:r w:rsidRPr="002C30D6">
        <w:rPr>
          <w:color w:val="auto"/>
          <w:sz w:val="24"/>
          <w:szCs w:val="24"/>
          <w:lang w:val="en-GB"/>
        </w:rPr>
        <w:t xml:space="preserve">, organised public transport, vicinity of a shop, pharmacy, post office, banks, etc. in the rural environment; unpaid social spaces as an alternative to bars, churches and schools, etc.) in local environments (village, neighbourhood, gentrification of urban </w:t>
      </w:r>
      <w:proofErr w:type="spellStart"/>
      <w:r w:rsidRPr="002C30D6">
        <w:rPr>
          <w:color w:val="auto"/>
          <w:sz w:val="24"/>
          <w:szCs w:val="24"/>
          <w:lang w:val="en-GB"/>
        </w:rPr>
        <w:t>centers</w:t>
      </w:r>
      <w:proofErr w:type="spellEnd"/>
      <w:r w:rsidRPr="002C30D6">
        <w:rPr>
          <w:color w:val="auto"/>
          <w:sz w:val="24"/>
          <w:szCs w:val="24"/>
          <w:lang w:val="en-GB"/>
        </w:rPr>
        <w:t xml:space="preserve">, etc.), as well as enable possibilities for cheaper or free services for older adults (the already established public transport LPP in Ljubljana) in the context of decentralisation of services (from urban or shopping </w:t>
      </w:r>
      <w:proofErr w:type="spellStart"/>
      <w:r w:rsidRPr="002C30D6">
        <w:rPr>
          <w:color w:val="auto"/>
          <w:sz w:val="24"/>
          <w:szCs w:val="24"/>
          <w:lang w:val="en-GB"/>
        </w:rPr>
        <w:t>centers</w:t>
      </w:r>
      <w:proofErr w:type="spellEnd"/>
      <w:r w:rsidRPr="002C30D6">
        <w:rPr>
          <w:color w:val="auto"/>
          <w:sz w:val="24"/>
          <w:szCs w:val="24"/>
          <w:lang w:val="en-GB"/>
        </w:rPr>
        <w:t>).</w:t>
      </w:r>
    </w:p>
    <w:p w:rsidR="00A03E9A" w:rsidRPr="002C30D6" w:rsidRDefault="00A03E9A" w:rsidP="00101976">
      <w:pPr>
        <w:spacing w:after="120" w:line="276" w:lineRule="auto"/>
        <w:jc w:val="both"/>
        <w:rPr>
          <w:color w:val="auto"/>
          <w:sz w:val="24"/>
          <w:szCs w:val="24"/>
          <w:lang w:val="en-GB"/>
        </w:rPr>
      </w:pPr>
      <w:r w:rsidRPr="002C30D6">
        <w:rPr>
          <w:color w:val="auto"/>
          <w:sz w:val="24"/>
          <w:szCs w:val="24"/>
          <w:lang w:val="en-GB"/>
        </w:rPr>
        <w:t xml:space="preserve">7) </w:t>
      </w:r>
      <w:r w:rsidRPr="002C30D6">
        <w:rPr>
          <w:b/>
          <w:color w:val="auto"/>
          <w:sz w:val="24"/>
          <w:szCs w:val="24"/>
          <w:lang w:val="en-GB"/>
        </w:rPr>
        <w:t>The invaluable contribution of the elderly as 'agents of progress' for the wider community should be recognised</w:t>
      </w:r>
      <w:r w:rsidRPr="002C30D6">
        <w:rPr>
          <w:color w:val="auto"/>
          <w:sz w:val="24"/>
          <w:szCs w:val="24"/>
          <w:lang w:val="en-GB"/>
        </w:rPr>
        <w:t xml:space="preserve"> and rewarded in local communities (with awards, financial incentives for organisations, invitations to events that celebrate national and other holidays, invitations to cultural and other social events). This contribution comes in the form of managing associations for the elderly, charitable organisations, U3ŽO, other NGOs, academic and voluntary organisations that are not necessary connected only with the elderly, projects of mutual help between the elderly, mutual assistance and widespread </w:t>
      </w:r>
      <w:r w:rsidRPr="002C30D6">
        <w:rPr>
          <w:color w:val="auto"/>
          <w:sz w:val="24"/>
          <w:szCs w:val="24"/>
          <w:lang w:val="en-GB"/>
        </w:rPr>
        <w:lastRenderedPageBreak/>
        <w:t>volunteering in situations where especially the third generation provides support and care to the fourth generation - in all these respects, the work of women in particular is invaluable. We also have to prepare strategies for transfer of knowledge, practices, skills, competences to the upcoming generation which does not (yet) possess these skills and competences, or the awareness of the importance of community service work and solidarity and the awareness of social welfare and community that the current generation of older adults built in their active working life.</w:t>
      </w:r>
    </w:p>
    <w:p w:rsidR="00A03E9A" w:rsidRPr="002C30D6" w:rsidRDefault="00A03E9A" w:rsidP="00101976">
      <w:pPr>
        <w:spacing w:after="120" w:line="276" w:lineRule="auto"/>
        <w:jc w:val="both"/>
        <w:rPr>
          <w:color w:val="auto"/>
          <w:sz w:val="24"/>
          <w:szCs w:val="24"/>
          <w:lang w:val="en-GB"/>
        </w:rPr>
      </w:pPr>
      <w:r w:rsidRPr="002C30D6">
        <w:rPr>
          <w:color w:val="auto"/>
          <w:sz w:val="24"/>
          <w:szCs w:val="24"/>
          <w:lang w:val="en-GB"/>
        </w:rPr>
        <w:t xml:space="preserve">8) Activities and services for older adults (DCA, U3ŽO, intergenerational </w:t>
      </w:r>
      <w:proofErr w:type="spellStart"/>
      <w:r w:rsidRPr="002C30D6">
        <w:rPr>
          <w:color w:val="auto"/>
          <w:sz w:val="24"/>
          <w:szCs w:val="24"/>
          <w:lang w:val="en-GB"/>
        </w:rPr>
        <w:t>centers</w:t>
      </w:r>
      <w:proofErr w:type="spellEnd"/>
      <w:r w:rsidRPr="002C30D6">
        <w:rPr>
          <w:color w:val="auto"/>
          <w:sz w:val="24"/>
          <w:szCs w:val="24"/>
          <w:lang w:val="en-GB"/>
        </w:rPr>
        <w:t xml:space="preserve">, homes for the elderly, etc.) should be </w:t>
      </w:r>
      <w:r w:rsidRPr="002C30D6">
        <w:rPr>
          <w:b/>
          <w:color w:val="auto"/>
          <w:sz w:val="24"/>
          <w:szCs w:val="24"/>
          <w:lang w:val="en-GB"/>
        </w:rPr>
        <w:t>connected, coordinated and upgraded with the aim of better integration, cooperation and accessibility for all older adults</w:t>
      </w:r>
      <w:r w:rsidRPr="002C30D6">
        <w:rPr>
          <w:color w:val="auto"/>
          <w:sz w:val="24"/>
          <w:szCs w:val="24"/>
          <w:lang w:val="en-GB"/>
        </w:rPr>
        <w:t xml:space="preserve"> (also for men and also free of charge). In doing so, local authorities should ensure </w:t>
      </w:r>
      <w:r w:rsidRPr="002C30D6">
        <w:rPr>
          <w:b/>
          <w:color w:val="auto"/>
          <w:sz w:val="24"/>
          <w:szCs w:val="24"/>
          <w:lang w:val="en-GB"/>
        </w:rPr>
        <w:t>adequate facilities</w:t>
      </w:r>
      <w:r w:rsidRPr="002C30D6">
        <w:rPr>
          <w:color w:val="auto"/>
          <w:sz w:val="24"/>
          <w:szCs w:val="24"/>
          <w:lang w:val="en-GB"/>
        </w:rPr>
        <w:t xml:space="preserve"> (most organisations included in the research had inadequate, too small and/or payable facilities that have been unable to develop into lively communities) and </w:t>
      </w:r>
      <w:r w:rsidRPr="002C30D6">
        <w:rPr>
          <w:b/>
          <w:color w:val="auto"/>
          <w:sz w:val="24"/>
          <w:szCs w:val="24"/>
          <w:lang w:val="en-GB"/>
        </w:rPr>
        <w:t>co-financing of activities and services</w:t>
      </w:r>
      <w:r w:rsidRPr="002C30D6">
        <w:rPr>
          <w:color w:val="auto"/>
          <w:sz w:val="24"/>
          <w:szCs w:val="24"/>
          <w:lang w:val="en-GB"/>
        </w:rPr>
        <w:t xml:space="preserve"> that are at present mainly dependent on bureaucratically demanding open calls (public and European) and the market (public recreational and sports facilities, financially accessible cultural and other events; a need for a cultural home in </w:t>
      </w:r>
      <w:proofErr w:type="spellStart"/>
      <w:r w:rsidRPr="002C30D6">
        <w:rPr>
          <w:color w:val="auto"/>
          <w:sz w:val="24"/>
          <w:szCs w:val="24"/>
          <w:lang w:val="en-GB"/>
        </w:rPr>
        <w:t>Ajdovščina</w:t>
      </w:r>
      <w:proofErr w:type="spellEnd"/>
      <w:r w:rsidRPr="002C30D6">
        <w:rPr>
          <w:color w:val="auto"/>
          <w:sz w:val="24"/>
          <w:szCs w:val="24"/>
          <w:lang w:val="en-GB"/>
        </w:rPr>
        <w:t xml:space="preserve"> was highlighted).</w:t>
      </w:r>
    </w:p>
    <w:p w:rsidR="007001BD" w:rsidRDefault="00A03E9A" w:rsidP="00101976">
      <w:pPr>
        <w:spacing w:after="120" w:line="276" w:lineRule="auto"/>
        <w:jc w:val="both"/>
        <w:rPr>
          <w:color w:val="auto"/>
          <w:sz w:val="24"/>
          <w:szCs w:val="24"/>
          <w:lang w:val="en-GB"/>
        </w:rPr>
      </w:pPr>
      <w:r w:rsidRPr="002C30D6">
        <w:rPr>
          <w:color w:val="auto"/>
          <w:sz w:val="24"/>
          <w:szCs w:val="24"/>
          <w:lang w:val="en-GB"/>
        </w:rPr>
        <w:t xml:space="preserve">9) </w:t>
      </w:r>
      <w:r w:rsidRPr="002C30D6">
        <w:rPr>
          <w:b/>
          <w:color w:val="auto"/>
          <w:sz w:val="24"/>
          <w:szCs w:val="24"/>
          <w:lang w:val="en-GB"/>
        </w:rPr>
        <w:t>Attention should be paid to potential and pre-existing good practices</w:t>
      </w:r>
      <w:r w:rsidRPr="002C30D6">
        <w:rPr>
          <w:color w:val="auto"/>
          <w:sz w:val="24"/>
          <w:szCs w:val="24"/>
          <w:lang w:val="en-GB"/>
        </w:rPr>
        <w:t xml:space="preserve"> in Slovenia and abroad; the older men in our research were especially indignant and despairing at current socio-political and socio-economic situation in the country. More than with their own quality of life, they were burdened with the quality of life of unemployed young people, poor people, employees who are nevertheless dependent on social transfers, etc. Care and responsibility for social well-being, which should be in the hands of public policies and institutions (including municipal, urban, and local communities), should be reflected in the transfer of already established and proven micro practices found in individual analyses of this project, which strive towards greater social, economic and political cooperation, exchange, integration, and democratisation.</w:t>
      </w:r>
    </w:p>
    <w:p w:rsidR="007C789F" w:rsidRDefault="007C789F" w:rsidP="00101976">
      <w:pPr>
        <w:spacing w:after="120" w:line="276" w:lineRule="auto"/>
        <w:jc w:val="both"/>
        <w:rPr>
          <w:color w:val="auto"/>
          <w:sz w:val="24"/>
          <w:szCs w:val="24"/>
          <w:lang w:val="en-GB"/>
        </w:rPr>
      </w:pPr>
    </w:p>
    <w:p w:rsidR="007C789F" w:rsidRPr="002C30D6" w:rsidRDefault="007C789F" w:rsidP="00101976">
      <w:pPr>
        <w:spacing w:after="120" w:line="276" w:lineRule="auto"/>
        <w:jc w:val="both"/>
        <w:rPr>
          <w:color w:val="auto"/>
          <w:sz w:val="24"/>
          <w:szCs w:val="24"/>
          <w:lang w:val="en-GB"/>
        </w:rPr>
      </w:pPr>
    </w:p>
    <w:p w:rsidR="00275621" w:rsidRPr="00BE38C3" w:rsidRDefault="00275621" w:rsidP="00275621">
      <w:pPr>
        <w:pStyle w:val="nagwek1"/>
        <w:rPr>
          <w:rFonts w:asciiTheme="minorHAnsi" w:hAnsiTheme="minorHAnsi"/>
          <w:b/>
          <w:sz w:val="24"/>
          <w:szCs w:val="24"/>
          <w:lang w:val="it-IT"/>
        </w:rPr>
      </w:pPr>
      <w:r w:rsidRPr="00BE38C3">
        <w:rPr>
          <w:rFonts w:asciiTheme="minorHAnsi" w:hAnsiTheme="minorHAnsi"/>
          <w:b/>
          <w:sz w:val="24"/>
          <w:szCs w:val="24"/>
          <w:lang w:val="it-IT"/>
        </w:rPr>
        <w:t>references:</w:t>
      </w:r>
    </w:p>
    <w:p w:rsidR="00F22564" w:rsidRPr="002C30D6" w:rsidRDefault="00F22564" w:rsidP="00F22564">
      <w:pPr>
        <w:spacing w:after="120"/>
        <w:rPr>
          <w:rFonts w:eastAsia="Times New Roman" w:cs="Arial"/>
          <w:color w:val="auto"/>
          <w:sz w:val="24"/>
          <w:szCs w:val="24"/>
          <w:lang w:val="en-GB" w:eastAsia="sl-SI"/>
        </w:rPr>
      </w:pPr>
      <w:r w:rsidRPr="00A60CE4">
        <w:rPr>
          <w:rFonts w:eastAsia="Times New Roman" w:cs="Arial"/>
          <w:color w:val="auto"/>
          <w:sz w:val="24"/>
          <w:szCs w:val="24"/>
          <w:lang w:val="it-IT" w:eastAsia="sl-SI"/>
        </w:rPr>
        <w:t xml:space="preserve">CSD (Center za socialno delo KS Bežigrad) (2018). Letno poročilo o delu na Centru za socialno delo Ljubljana Bežigrad. </w:t>
      </w:r>
      <w:r w:rsidRPr="002C30D6">
        <w:rPr>
          <w:rFonts w:eastAsia="Times New Roman" w:cs="Arial"/>
          <w:color w:val="auto"/>
          <w:sz w:val="24"/>
          <w:szCs w:val="24"/>
          <w:lang w:val="en-GB" w:eastAsia="sl-SI"/>
        </w:rPr>
        <w:t>Available at: http://csd-lj-bezigrad.si/wp-content/uploads/2018/02/Letno-poro%C4%8Dilo-o-delu-na-CSD-Ljubljana-Be%C5%BEigrad-2017.pdf</w:t>
      </w:r>
    </w:p>
    <w:p w:rsidR="00F22564" w:rsidRPr="00A60CE4" w:rsidRDefault="00F22564" w:rsidP="00F22564">
      <w:pPr>
        <w:spacing w:after="120"/>
        <w:rPr>
          <w:iCs/>
          <w:color w:val="auto"/>
          <w:sz w:val="24"/>
          <w:szCs w:val="24"/>
          <w:lang w:eastAsia="en-US"/>
        </w:rPr>
      </w:pPr>
      <w:proofErr w:type="spellStart"/>
      <w:proofErr w:type="gramStart"/>
      <w:r w:rsidRPr="002C30D6">
        <w:rPr>
          <w:color w:val="auto"/>
          <w:sz w:val="24"/>
          <w:szCs w:val="24"/>
          <w:lang w:val="en-GB"/>
        </w:rPr>
        <w:t>Črnak-Meglič</w:t>
      </w:r>
      <w:proofErr w:type="spellEnd"/>
      <w:r w:rsidRPr="002C30D6">
        <w:rPr>
          <w:color w:val="auto"/>
          <w:sz w:val="24"/>
          <w:szCs w:val="24"/>
          <w:lang w:val="en-GB"/>
        </w:rPr>
        <w:t xml:space="preserve">, A., and T. </w:t>
      </w:r>
      <w:proofErr w:type="spellStart"/>
      <w:r w:rsidRPr="002C30D6">
        <w:rPr>
          <w:color w:val="auto"/>
          <w:sz w:val="24"/>
          <w:szCs w:val="24"/>
          <w:lang w:val="en-GB"/>
        </w:rPr>
        <w:t>Rakar</w:t>
      </w:r>
      <w:proofErr w:type="spellEnd"/>
      <w:r w:rsidRPr="002C30D6">
        <w:rPr>
          <w:color w:val="auto"/>
          <w:sz w:val="24"/>
          <w:szCs w:val="24"/>
          <w:lang w:val="en-GB"/>
        </w:rPr>
        <w:t xml:space="preserve"> (2009).</w:t>
      </w:r>
      <w:proofErr w:type="gramEnd"/>
      <w:r w:rsidRPr="002C30D6">
        <w:rPr>
          <w:color w:val="auto"/>
          <w:sz w:val="24"/>
          <w:szCs w:val="24"/>
          <w:lang w:val="en-GB"/>
        </w:rPr>
        <w:t xml:space="preserve"> </w:t>
      </w:r>
      <w:proofErr w:type="gramStart"/>
      <w:r w:rsidRPr="002C30D6">
        <w:rPr>
          <w:color w:val="auto"/>
          <w:sz w:val="24"/>
          <w:szCs w:val="24"/>
          <w:lang w:val="en-GB"/>
        </w:rPr>
        <w:t>The role of the third sector in the Slovenian welfare system.</w:t>
      </w:r>
      <w:proofErr w:type="gramEnd"/>
      <w:r w:rsidRPr="002C30D6">
        <w:rPr>
          <w:color w:val="auto"/>
          <w:sz w:val="24"/>
          <w:szCs w:val="24"/>
          <w:lang w:val="en-GB"/>
        </w:rPr>
        <w:t xml:space="preserve"> </w:t>
      </w:r>
      <w:hyperlink r:id="rId11" w:history="1">
        <w:r w:rsidRPr="00A60CE4">
          <w:rPr>
            <w:rStyle w:val="Hyperlink"/>
            <w:i/>
            <w:iCs/>
            <w:color w:val="auto"/>
            <w:sz w:val="24"/>
            <w:szCs w:val="24"/>
            <w:u w:val="none"/>
          </w:rPr>
          <w:t>Teorija in praksa</w:t>
        </w:r>
      </w:hyperlink>
      <w:r w:rsidRPr="00A60CE4">
        <w:rPr>
          <w:i/>
          <w:iCs/>
          <w:color w:val="auto"/>
          <w:sz w:val="24"/>
          <w:szCs w:val="24"/>
        </w:rPr>
        <w:t xml:space="preserve">, </w:t>
      </w:r>
      <w:r w:rsidRPr="00A60CE4">
        <w:rPr>
          <w:iCs/>
          <w:color w:val="auto"/>
          <w:sz w:val="24"/>
          <w:szCs w:val="24"/>
        </w:rPr>
        <w:t>46(3), 237–254</w:t>
      </w:r>
      <w:r w:rsidRPr="00A60CE4">
        <w:rPr>
          <w:color w:val="auto"/>
          <w:sz w:val="24"/>
          <w:szCs w:val="24"/>
        </w:rPr>
        <w:t>.</w:t>
      </w:r>
    </w:p>
    <w:p w:rsidR="00F22564" w:rsidRPr="002C30D6" w:rsidRDefault="00F22564" w:rsidP="00F22564">
      <w:pPr>
        <w:spacing w:after="120"/>
        <w:rPr>
          <w:rFonts w:eastAsia="Times New Roman" w:cs="Arial"/>
          <w:color w:val="auto"/>
          <w:sz w:val="24"/>
          <w:szCs w:val="24"/>
          <w:lang w:val="en-GB" w:eastAsia="sl-SI"/>
        </w:rPr>
      </w:pPr>
      <w:r w:rsidRPr="00A60CE4">
        <w:rPr>
          <w:rFonts w:eastAsia="Times New Roman" w:cs="Arial"/>
          <w:color w:val="auto"/>
          <w:sz w:val="24"/>
          <w:szCs w:val="24"/>
          <w:lang w:eastAsia="sl-SI"/>
        </w:rPr>
        <w:t xml:space="preserve">Drofenik, O. (2015). Izobraževanje odraslih v moji občini. Fokusna razprava županov v obdobju 2014–2015. </w:t>
      </w:r>
      <w:r w:rsidRPr="002C30D6">
        <w:rPr>
          <w:rFonts w:eastAsia="Times New Roman" w:cs="Arial"/>
          <w:color w:val="auto"/>
          <w:sz w:val="24"/>
          <w:szCs w:val="24"/>
          <w:lang w:val="en-GB" w:eastAsia="sl-SI"/>
        </w:rPr>
        <w:t xml:space="preserve">Ljubljana: </w:t>
      </w:r>
      <w:proofErr w:type="spellStart"/>
      <w:r w:rsidRPr="002C30D6">
        <w:rPr>
          <w:rFonts w:eastAsia="Times New Roman" w:cs="Arial"/>
          <w:color w:val="auto"/>
          <w:sz w:val="24"/>
          <w:szCs w:val="24"/>
          <w:lang w:val="en-GB" w:eastAsia="sl-SI"/>
        </w:rPr>
        <w:t>Andragoško</w:t>
      </w:r>
      <w:proofErr w:type="spellEnd"/>
      <w:r w:rsidRPr="002C30D6">
        <w:rPr>
          <w:rFonts w:eastAsia="Times New Roman" w:cs="Arial"/>
          <w:color w:val="auto"/>
          <w:sz w:val="24"/>
          <w:szCs w:val="24"/>
          <w:lang w:val="en-GB" w:eastAsia="sl-SI"/>
        </w:rPr>
        <w:t xml:space="preserve"> </w:t>
      </w:r>
      <w:proofErr w:type="spellStart"/>
      <w:r w:rsidRPr="002C30D6">
        <w:rPr>
          <w:rFonts w:eastAsia="Times New Roman" w:cs="Arial"/>
          <w:color w:val="auto"/>
          <w:sz w:val="24"/>
          <w:szCs w:val="24"/>
          <w:lang w:val="en-GB" w:eastAsia="sl-SI"/>
        </w:rPr>
        <w:t>društvo</w:t>
      </w:r>
      <w:proofErr w:type="spellEnd"/>
      <w:r w:rsidRPr="002C30D6">
        <w:rPr>
          <w:rFonts w:eastAsia="Times New Roman" w:cs="Arial"/>
          <w:color w:val="auto"/>
          <w:sz w:val="24"/>
          <w:szCs w:val="24"/>
          <w:lang w:val="en-GB" w:eastAsia="sl-SI"/>
        </w:rPr>
        <w:t xml:space="preserve"> </w:t>
      </w:r>
      <w:proofErr w:type="spellStart"/>
      <w:r w:rsidRPr="002C30D6">
        <w:rPr>
          <w:rFonts w:eastAsia="Times New Roman" w:cs="Arial"/>
          <w:color w:val="auto"/>
          <w:sz w:val="24"/>
          <w:szCs w:val="24"/>
          <w:lang w:val="en-GB" w:eastAsia="sl-SI"/>
        </w:rPr>
        <w:t>Slovenije</w:t>
      </w:r>
      <w:proofErr w:type="spellEnd"/>
      <w:r w:rsidRPr="002C30D6">
        <w:rPr>
          <w:rFonts w:eastAsia="Times New Roman" w:cs="Arial"/>
          <w:color w:val="auto"/>
          <w:sz w:val="24"/>
          <w:szCs w:val="24"/>
          <w:lang w:val="en-GB" w:eastAsia="sl-SI"/>
        </w:rPr>
        <w:t>. Available at: http://www.andragosko-drustvo.si/wp-content/uploads/2015/08/Povzetek-ugotovitvev-o-upravljanju-IO-na-lokalni-ravni.pdf</w:t>
      </w:r>
    </w:p>
    <w:p w:rsidR="00F22564" w:rsidRPr="002C30D6" w:rsidRDefault="00F22564" w:rsidP="00F22564">
      <w:pPr>
        <w:spacing w:after="120"/>
        <w:rPr>
          <w:rFonts w:cs="TisaSansPro"/>
          <w:color w:val="auto"/>
          <w:sz w:val="24"/>
          <w:szCs w:val="24"/>
          <w:lang w:val="en-GB"/>
        </w:rPr>
      </w:pPr>
      <w:proofErr w:type="spellStart"/>
      <w:proofErr w:type="gramStart"/>
      <w:r w:rsidRPr="002C30D6">
        <w:rPr>
          <w:rFonts w:cs="TisaSansPro"/>
          <w:color w:val="auto"/>
          <w:sz w:val="24"/>
          <w:szCs w:val="24"/>
          <w:lang w:val="en-GB"/>
        </w:rPr>
        <w:lastRenderedPageBreak/>
        <w:t>Eurofound</w:t>
      </w:r>
      <w:proofErr w:type="spellEnd"/>
      <w:r w:rsidRPr="002C30D6">
        <w:rPr>
          <w:rFonts w:cs="TisaSansPro"/>
          <w:color w:val="auto"/>
          <w:sz w:val="24"/>
          <w:szCs w:val="24"/>
          <w:lang w:val="en-GB"/>
        </w:rPr>
        <w:t xml:space="preserve"> (2009).</w:t>
      </w:r>
      <w:proofErr w:type="gramEnd"/>
      <w:r w:rsidRPr="002C30D6">
        <w:rPr>
          <w:rFonts w:cs="TisaSansPro"/>
          <w:color w:val="auto"/>
          <w:sz w:val="24"/>
          <w:szCs w:val="24"/>
          <w:lang w:val="en-GB"/>
        </w:rPr>
        <w:t xml:space="preserve"> </w:t>
      </w:r>
      <w:r w:rsidRPr="002C30D6">
        <w:rPr>
          <w:rFonts w:eastAsia="Times New Roman" w:cs="Arial"/>
          <w:color w:val="auto"/>
          <w:sz w:val="24"/>
          <w:szCs w:val="24"/>
          <w:lang w:val="en-GB" w:eastAsia="sl-SI"/>
        </w:rPr>
        <w:t xml:space="preserve">Measures for social inclusion of the elderly: The case of volunteering. </w:t>
      </w:r>
      <w:proofErr w:type="gramStart"/>
      <w:r w:rsidRPr="002C30D6">
        <w:rPr>
          <w:rFonts w:eastAsia="Times New Roman" w:cs="Arial"/>
          <w:color w:val="auto"/>
          <w:sz w:val="24"/>
          <w:szCs w:val="24"/>
          <w:lang w:val="en-GB" w:eastAsia="sl-SI"/>
        </w:rPr>
        <w:t>Working paper.</w:t>
      </w:r>
      <w:proofErr w:type="gramEnd"/>
      <w:r w:rsidRPr="002C30D6">
        <w:rPr>
          <w:rFonts w:eastAsia="Times New Roman" w:cs="Arial"/>
          <w:color w:val="auto"/>
          <w:sz w:val="24"/>
          <w:szCs w:val="24"/>
          <w:lang w:val="en-GB" w:eastAsia="sl-SI"/>
        </w:rPr>
        <w:t xml:space="preserve"> Available at: </w:t>
      </w:r>
      <w:r w:rsidRPr="002C30D6">
        <w:rPr>
          <w:rFonts w:cs="TisaSansPro"/>
          <w:color w:val="auto"/>
          <w:sz w:val="24"/>
          <w:szCs w:val="24"/>
          <w:lang w:val="en-GB"/>
        </w:rPr>
        <w:t>https://www.fabi.it/public/documenti/welfare/8781eurofound_10_09.pdf</w:t>
      </w:r>
    </w:p>
    <w:p w:rsidR="00F22564" w:rsidRPr="002C30D6" w:rsidRDefault="00F22564" w:rsidP="00F22564">
      <w:pPr>
        <w:spacing w:after="120"/>
        <w:rPr>
          <w:rFonts w:cs="TisaSansPro"/>
          <w:color w:val="auto"/>
          <w:sz w:val="24"/>
          <w:szCs w:val="24"/>
          <w:lang w:val="en-GB"/>
        </w:rPr>
      </w:pPr>
      <w:proofErr w:type="gramStart"/>
      <w:r w:rsidRPr="002C30D6">
        <w:rPr>
          <w:rFonts w:cs="TisaSansPro"/>
          <w:color w:val="auto"/>
          <w:sz w:val="24"/>
          <w:szCs w:val="24"/>
          <w:lang w:val="en-GB"/>
        </w:rPr>
        <w:t>Eurostat (2017).</w:t>
      </w:r>
      <w:proofErr w:type="gramEnd"/>
      <w:r w:rsidRPr="002C30D6">
        <w:rPr>
          <w:rFonts w:cs="TisaSansPro"/>
          <w:color w:val="auto"/>
          <w:sz w:val="24"/>
          <w:szCs w:val="24"/>
          <w:lang w:val="en-GB"/>
        </w:rPr>
        <w:t xml:space="preserve"> Selected papers from the 2016 Conference of </w:t>
      </w:r>
      <w:proofErr w:type="gramStart"/>
      <w:r w:rsidRPr="002C30D6">
        <w:rPr>
          <w:rFonts w:cs="TisaSansPro"/>
          <w:color w:val="auto"/>
          <w:sz w:val="24"/>
          <w:szCs w:val="24"/>
          <w:lang w:val="en-GB"/>
        </w:rPr>
        <w:t>European  Statistics</w:t>
      </w:r>
      <w:proofErr w:type="gramEnd"/>
      <w:r w:rsidRPr="002C30D6">
        <w:rPr>
          <w:rFonts w:cs="TisaSansPro"/>
          <w:color w:val="auto"/>
          <w:sz w:val="24"/>
          <w:szCs w:val="24"/>
          <w:lang w:val="en-GB"/>
        </w:rPr>
        <w:t xml:space="preserve">   Stakeholders. Available at: http://ec.europa.eu/eurostat/documents/3888793/8435601/KS-TC-17-006-EN-N.pdf/68310461-0930-4c1d-b935-dfdcd9f36f53</w:t>
      </w:r>
    </w:p>
    <w:p w:rsidR="00F22564" w:rsidRPr="002C30D6" w:rsidRDefault="00F22564" w:rsidP="00F22564">
      <w:pPr>
        <w:spacing w:after="120"/>
        <w:rPr>
          <w:rFonts w:cs="TisaSansPro"/>
          <w:color w:val="auto"/>
          <w:sz w:val="24"/>
          <w:szCs w:val="24"/>
          <w:lang w:val="en-GB"/>
        </w:rPr>
      </w:pPr>
      <w:proofErr w:type="gramStart"/>
      <w:r w:rsidRPr="002C30D6">
        <w:rPr>
          <w:rFonts w:cs="TisaSansPro"/>
          <w:color w:val="auto"/>
          <w:sz w:val="24"/>
          <w:szCs w:val="24"/>
          <w:lang w:val="en-GB"/>
        </w:rPr>
        <w:t>Eurostat (2018).</w:t>
      </w:r>
      <w:proofErr w:type="gramEnd"/>
      <w:r w:rsidRPr="002C30D6">
        <w:rPr>
          <w:rFonts w:cs="TisaSansPro"/>
          <w:color w:val="auto"/>
          <w:sz w:val="24"/>
          <w:szCs w:val="24"/>
          <w:lang w:val="en-GB"/>
        </w:rPr>
        <w:t xml:space="preserve"> Data available at: http://ec.europa.eu/eurostat/data/database</w:t>
      </w:r>
    </w:p>
    <w:p w:rsidR="00F22564" w:rsidRPr="002C30D6" w:rsidRDefault="00F22564" w:rsidP="00F22564">
      <w:pPr>
        <w:spacing w:after="120"/>
        <w:rPr>
          <w:rFonts w:cs="TisaSansPro"/>
          <w:color w:val="auto"/>
          <w:sz w:val="24"/>
          <w:szCs w:val="24"/>
          <w:lang w:val="en-GB"/>
        </w:rPr>
      </w:pPr>
      <w:proofErr w:type="spellStart"/>
      <w:r w:rsidRPr="002C30D6">
        <w:rPr>
          <w:rFonts w:cs="TisaSansPro"/>
          <w:color w:val="auto"/>
          <w:sz w:val="24"/>
          <w:szCs w:val="24"/>
          <w:lang w:val="en-GB"/>
        </w:rPr>
        <w:t>Filipovič</w:t>
      </w:r>
      <w:proofErr w:type="spellEnd"/>
      <w:r w:rsidRPr="002C30D6">
        <w:rPr>
          <w:rFonts w:cs="TisaSansPro"/>
          <w:color w:val="auto"/>
          <w:sz w:val="24"/>
          <w:szCs w:val="24"/>
          <w:lang w:val="en-GB"/>
        </w:rPr>
        <w:t xml:space="preserve"> </w:t>
      </w:r>
      <w:proofErr w:type="spellStart"/>
      <w:r w:rsidRPr="002C30D6">
        <w:rPr>
          <w:rFonts w:cs="TisaSansPro"/>
          <w:color w:val="auto"/>
          <w:sz w:val="24"/>
          <w:szCs w:val="24"/>
          <w:lang w:val="en-GB"/>
        </w:rPr>
        <w:t>Hrast</w:t>
      </w:r>
      <w:proofErr w:type="spellEnd"/>
      <w:r w:rsidRPr="002C30D6">
        <w:rPr>
          <w:rFonts w:cs="TisaSansPro"/>
          <w:color w:val="auto"/>
          <w:sz w:val="24"/>
          <w:szCs w:val="24"/>
          <w:lang w:val="en-GB"/>
        </w:rPr>
        <w:t xml:space="preserve">, M., V. </w:t>
      </w:r>
      <w:proofErr w:type="spellStart"/>
      <w:r w:rsidRPr="002C30D6">
        <w:rPr>
          <w:rFonts w:cs="TisaSansPro"/>
          <w:color w:val="auto"/>
          <w:sz w:val="24"/>
          <w:szCs w:val="24"/>
          <w:lang w:val="en-GB"/>
        </w:rPr>
        <w:t>Hlebec</w:t>
      </w:r>
      <w:proofErr w:type="spellEnd"/>
      <w:r w:rsidRPr="002C30D6">
        <w:rPr>
          <w:rFonts w:cs="TisaSansPro"/>
          <w:color w:val="auto"/>
          <w:sz w:val="24"/>
          <w:szCs w:val="24"/>
          <w:lang w:val="en-GB"/>
        </w:rPr>
        <w:t xml:space="preserve"> and M. </w:t>
      </w:r>
      <w:proofErr w:type="spellStart"/>
      <w:r w:rsidRPr="002C30D6">
        <w:rPr>
          <w:rFonts w:cs="TisaSansPro"/>
          <w:color w:val="auto"/>
          <w:sz w:val="24"/>
          <w:szCs w:val="24"/>
          <w:lang w:val="en-GB"/>
        </w:rPr>
        <w:t>Kavčič</w:t>
      </w:r>
      <w:proofErr w:type="spellEnd"/>
      <w:r w:rsidRPr="002C30D6">
        <w:rPr>
          <w:rFonts w:cs="TisaSansPro"/>
          <w:color w:val="auto"/>
          <w:sz w:val="24"/>
          <w:szCs w:val="24"/>
          <w:lang w:val="en-GB"/>
        </w:rPr>
        <w:t xml:space="preserve"> (2012). The Social Exclusion of the Elderly: A Mixed-Methods Study in Slovenia. </w:t>
      </w:r>
      <w:r w:rsidRPr="002C30D6">
        <w:rPr>
          <w:rFonts w:cs="TisaSansPro"/>
          <w:i/>
          <w:color w:val="auto"/>
          <w:sz w:val="24"/>
          <w:szCs w:val="24"/>
          <w:lang w:val="en-GB"/>
        </w:rPr>
        <w:t>Czech Sociological Review</w:t>
      </w:r>
      <w:r w:rsidRPr="002C30D6">
        <w:rPr>
          <w:rFonts w:cs="TisaSansPro"/>
          <w:color w:val="auto"/>
          <w:sz w:val="24"/>
          <w:szCs w:val="24"/>
          <w:lang w:val="en-GB"/>
        </w:rPr>
        <w:t>, 48(6): 1051–1074.</w:t>
      </w:r>
    </w:p>
    <w:p w:rsidR="003C7F8F" w:rsidRPr="002C30D6" w:rsidRDefault="003C7F8F" w:rsidP="003C7F8F">
      <w:pPr>
        <w:spacing w:after="120"/>
        <w:rPr>
          <w:rFonts w:cs="TisaSansPro"/>
          <w:color w:val="auto"/>
          <w:sz w:val="24"/>
          <w:szCs w:val="24"/>
          <w:lang w:val="en-GB"/>
        </w:rPr>
      </w:pPr>
      <w:proofErr w:type="gramStart"/>
      <w:r w:rsidRPr="002C30D6">
        <w:rPr>
          <w:rFonts w:cs="TisaSansPro"/>
          <w:i/>
          <w:color w:val="auto"/>
          <w:sz w:val="24"/>
          <w:szCs w:val="24"/>
          <w:lang w:val="en-GB"/>
        </w:rPr>
        <w:t>Foresight Mental Capital and Wellbeing Project</w:t>
      </w:r>
      <w:r w:rsidRPr="002C30D6">
        <w:rPr>
          <w:rFonts w:cs="TisaSansPro"/>
          <w:color w:val="auto"/>
          <w:sz w:val="24"/>
          <w:szCs w:val="24"/>
          <w:lang w:val="en-GB"/>
        </w:rPr>
        <w:t xml:space="preserve"> (2008).</w:t>
      </w:r>
      <w:proofErr w:type="gramEnd"/>
      <w:r w:rsidRPr="002C30D6">
        <w:rPr>
          <w:rFonts w:cs="TisaSansPro"/>
          <w:color w:val="auto"/>
          <w:sz w:val="24"/>
          <w:szCs w:val="24"/>
          <w:lang w:val="en-GB"/>
        </w:rPr>
        <w:t xml:space="preserve"> </w:t>
      </w:r>
      <w:r w:rsidRPr="002C30D6">
        <w:rPr>
          <w:rFonts w:cs="TisaSansPro"/>
          <w:i/>
          <w:color w:val="auto"/>
          <w:sz w:val="24"/>
          <w:szCs w:val="24"/>
          <w:lang w:val="en-GB"/>
        </w:rPr>
        <w:t>Final project report: Executive summary</w:t>
      </w:r>
      <w:r w:rsidRPr="002C30D6">
        <w:rPr>
          <w:rFonts w:cs="TisaSansPro"/>
          <w:color w:val="auto"/>
          <w:sz w:val="24"/>
          <w:szCs w:val="24"/>
          <w:lang w:val="en-GB"/>
        </w:rPr>
        <w:t>. London: Government Office for Science.</w:t>
      </w:r>
    </w:p>
    <w:p w:rsidR="00F22564" w:rsidRPr="002C30D6" w:rsidRDefault="00F22564" w:rsidP="00F22564">
      <w:pPr>
        <w:spacing w:after="120"/>
        <w:rPr>
          <w:rFonts w:cs="TisaSansPro"/>
          <w:color w:val="auto"/>
          <w:sz w:val="24"/>
          <w:szCs w:val="24"/>
          <w:lang w:val="en-GB"/>
        </w:rPr>
      </w:pPr>
      <w:r w:rsidRPr="002C30D6">
        <w:rPr>
          <w:rFonts w:cs="TisaSansPro"/>
          <w:color w:val="auto"/>
          <w:sz w:val="24"/>
          <w:szCs w:val="24"/>
          <w:lang w:val="en-GB"/>
        </w:rPr>
        <w:t xml:space="preserve">Golding, B. (2009). Older men’s lifelong learning: Common threads/sheds. In J. Field, J. </w:t>
      </w:r>
      <w:proofErr w:type="spellStart"/>
      <w:r w:rsidRPr="002C30D6">
        <w:rPr>
          <w:rFonts w:cs="TisaSansPro"/>
          <w:color w:val="auto"/>
          <w:sz w:val="24"/>
          <w:szCs w:val="24"/>
          <w:lang w:val="en-GB"/>
        </w:rPr>
        <w:t>Gallacher</w:t>
      </w:r>
      <w:proofErr w:type="spellEnd"/>
      <w:r w:rsidRPr="002C30D6">
        <w:rPr>
          <w:rFonts w:cs="TisaSansPro"/>
          <w:color w:val="auto"/>
          <w:sz w:val="24"/>
          <w:szCs w:val="24"/>
          <w:lang w:val="en-GB"/>
        </w:rPr>
        <w:t xml:space="preserve"> &amp; R. Ingram (Eds.), </w:t>
      </w:r>
      <w:r w:rsidRPr="002C30D6">
        <w:rPr>
          <w:rFonts w:cs="TisaSansPro"/>
          <w:i/>
          <w:color w:val="auto"/>
          <w:sz w:val="24"/>
          <w:szCs w:val="24"/>
          <w:lang w:val="en-GB"/>
        </w:rPr>
        <w:t>Researching transitions in lifelong learning</w:t>
      </w:r>
      <w:r w:rsidRPr="002C30D6">
        <w:rPr>
          <w:rFonts w:cs="TisaSansPro"/>
          <w:color w:val="auto"/>
          <w:sz w:val="24"/>
          <w:szCs w:val="24"/>
          <w:lang w:val="en-GB"/>
        </w:rPr>
        <w:t xml:space="preserve"> (pp. 65-75). London: Routledge.</w:t>
      </w:r>
    </w:p>
    <w:p w:rsidR="00F22564" w:rsidRPr="002C30D6" w:rsidRDefault="00F22564" w:rsidP="00F22564">
      <w:pPr>
        <w:spacing w:after="120"/>
        <w:rPr>
          <w:rFonts w:cs="TisaSansPro"/>
          <w:color w:val="auto"/>
          <w:sz w:val="24"/>
          <w:szCs w:val="24"/>
          <w:lang w:val="en-GB"/>
        </w:rPr>
      </w:pPr>
      <w:r w:rsidRPr="002C30D6">
        <w:rPr>
          <w:rFonts w:cs="TisaSansPro"/>
          <w:color w:val="auto"/>
          <w:sz w:val="24"/>
          <w:szCs w:val="24"/>
          <w:lang w:val="en-GB"/>
        </w:rPr>
        <w:t xml:space="preserve">Golding, B. (2010). The big picture on men’s (and boy’s) learning. </w:t>
      </w:r>
      <w:r w:rsidRPr="002C30D6">
        <w:rPr>
          <w:rFonts w:cs="TisaSansPro"/>
          <w:i/>
          <w:color w:val="auto"/>
          <w:sz w:val="24"/>
          <w:szCs w:val="24"/>
          <w:lang w:val="en-GB"/>
        </w:rPr>
        <w:t>Australian Journal of Adult Learning</w:t>
      </w:r>
      <w:r w:rsidRPr="002C30D6">
        <w:rPr>
          <w:rFonts w:cs="TisaSansPro"/>
          <w:color w:val="auto"/>
          <w:sz w:val="24"/>
          <w:szCs w:val="24"/>
          <w:lang w:val="en-GB"/>
        </w:rPr>
        <w:t>, 50(1), 54–74.</w:t>
      </w:r>
    </w:p>
    <w:p w:rsidR="007367AC" w:rsidRPr="002C30D6" w:rsidRDefault="007367AC" w:rsidP="007367AC">
      <w:pPr>
        <w:spacing w:after="120"/>
        <w:rPr>
          <w:rFonts w:cs="TisaSansPro"/>
          <w:color w:val="auto"/>
          <w:sz w:val="24"/>
          <w:szCs w:val="24"/>
          <w:lang w:val="en-GB"/>
        </w:rPr>
      </w:pPr>
      <w:r w:rsidRPr="002C30D6">
        <w:rPr>
          <w:rFonts w:cs="TisaSansPro"/>
          <w:color w:val="auto"/>
          <w:sz w:val="24"/>
          <w:szCs w:val="24"/>
          <w:lang w:val="en-GB"/>
        </w:rPr>
        <w:t xml:space="preserve">Golding, B. (2011a). Older men‘s wellbeing through community participation in Australia. </w:t>
      </w:r>
      <w:r w:rsidRPr="002C30D6">
        <w:rPr>
          <w:rFonts w:cs="TisaSansPro"/>
          <w:i/>
          <w:color w:val="auto"/>
          <w:sz w:val="24"/>
          <w:szCs w:val="24"/>
          <w:lang w:val="en-GB"/>
        </w:rPr>
        <w:t>International Journal of Men‘s Health</w:t>
      </w:r>
      <w:r w:rsidRPr="002C30D6">
        <w:rPr>
          <w:rFonts w:cs="TisaSansPro"/>
          <w:color w:val="auto"/>
          <w:sz w:val="24"/>
          <w:szCs w:val="24"/>
          <w:lang w:val="en-GB"/>
        </w:rPr>
        <w:t>, 10(1), 26–44.</w:t>
      </w:r>
    </w:p>
    <w:p w:rsidR="007367AC" w:rsidRPr="002C30D6" w:rsidRDefault="007367AC" w:rsidP="007367AC">
      <w:pPr>
        <w:spacing w:after="120"/>
        <w:rPr>
          <w:rFonts w:cs="TisaSansPro"/>
          <w:color w:val="auto"/>
          <w:sz w:val="24"/>
          <w:szCs w:val="24"/>
          <w:lang w:val="en-GB"/>
        </w:rPr>
      </w:pPr>
      <w:r w:rsidRPr="002C30D6">
        <w:rPr>
          <w:rFonts w:cs="TisaSansPro"/>
          <w:color w:val="auto"/>
          <w:sz w:val="24"/>
          <w:szCs w:val="24"/>
          <w:lang w:val="en-GB"/>
        </w:rPr>
        <w:t>Golding, B. (2011b). Taking charge at any age: Learning and wellbeing by older men through community organisations in Australia. A</w:t>
      </w:r>
      <w:r w:rsidRPr="002C30D6">
        <w:rPr>
          <w:rFonts w:cs="TisaSansPro"/>
          <w:i/>
          <w:color w:val="auto"/>
          <w:sz w:val="24"/>
          <w:szCs w:val="24"/>
          <w:lang w:val="en-GB"/>
        </w:rPr>
        <w:t>dult Learner 2011: The Irish Journal of Adult and Community Education</w:t>
      </w:r>
      <w:r w:rsidRPr="002C30D6">
        <w:rPr>
          <w:rFonts w:cs="TisaSansPro"/>
          <w:color w:val="auto"/>
          <w:sz w:val="24"/>
          <w:szCs w:val="24"/>
          <w:lang w:val="en-GB"/>
        </w:rPr>
        <w:t>, 26–40.</w:t>
      </w:r>
    </w:p>
    <w:p w:rsidR="00F22564" w:rsidRPr="002C30D6" w:rsidRDefault="00F22564" w:rsidP="00F22564">
      <w:pPr>
        <w:spacing w:after="120"/>
        <w:rPr>
          <w:rFonts w:cs="TisaSansPro"/>
          <w:color w:val="auto"/>
          <w:sz w:val="24"/>
          <w:szCs w:val="24"/>
          <w:lang w:val="en-GB"/>
        </w:rPr>
      </w:pPr>
      <w:proofErr w:type="gramStart"/>
      <w:r w:rsidRPr="002C30D6">
        <w:rPr>
          <w:rFonts w:cs="TisaSansPro"/>
          <w:color w:val="auto"/>
          <w:sz w:val="24"/>
          <w:szCs w:val="24"/>
          <w:lang w:val="en-GB"/>
        </w:rPr>
        <w:t>Golding, B., Brown, M., Foley, A., and Harvey, J. (2009).</w:t>
      </w:r>
      <w:proofErr w:type="gramEnd"/>
      <w:r w:rsidRPr="002C30D6">
        <w:rPr>
          <w:rFonts w:cs="TisaSansPro"/>
          <w:color w:val="auto"/>
          <w:sz w:val="24"/>
          <w:szCs w:val="24"/>
          <w:lang w:val="en-GB"/>
        </w:rPr>
        <w:t xml:space="preserve"> </w:t>
      </w:r>
      <w:proofErr w:type="gramStart"/>
      <w:r w:rsidRPr="002C30D6">
        <w:rPr>
          <w:rFonts w:cs="TisaSansPro"/>
          <w:color w:val="auto"/>
          <w:sz w:val="24"/>
          <w:szCs w:val="24"/>
          <w:lang w:val="en-GB"/>
        </w:rPr>
        <w:t>Men’s learning and wellbeing through community organisations in Western Australia.</w:t>
      </w:r>
      <w:proofErr w:type="gramEnd"/>
      <w:r w:rsidRPr="002C30D6">
        <w:rPr>
          <w:rFonts w:cs="TisaSansPro"/>
          <w:color w:val="auto"/>
          <w:sz w:val="24"/>
          <w:szCs w:val="24"/>
          <w:lang w:val="en-GB"/>
        </w:rPr>
        <w:t xml:space="preserve"> Report to Western Australia Department of Education and Training. </w:t>
      </w:r>
      <w:proofErr w:type="spellStart"/>
      <w:r w:rsidRPr="002C30D6">
        <w:rPr>
          <w:rFonts w:cs="TisaSansPro"/>
          <w:color w:val="auto"/>
          <w:sz w:val="24"/>
          <w:szCs w:val="24"/>
          <w:lang w:val="en-GB"/>
        </w:rPr>
        <w:t>Ballarat</w:t>
      </w:r>
      <w:proofErr w:type="spellEnd"/>
      <w:r w:rsidRPr="002C30D6">
        <w:rPr>
          <w:rFonts w:cs="TisaSansPro"/>
          <w:color w:val="auto"/>
          <w:sz w:val="24"/>
          <w:szCs w:val="24"/>
          <w:lang w:val="en-GB"/>
        </w:rPr>
        <w:t xml:space="preserve">: University of </w:t>
      </w:r>
      <w:proofErr w:type="spellStart"/>
      <w:r w:rsidRPr="002C30D6">
        <w:rPr>
          <w:rFonts w:cs="TisaSansPro"/>
          <w:color w:val="auto"/>
          <w:sz w:val="24"/>
          <w:szCs w:val="24"/>
          <w:lang w:val="en-GB"/>
        </w:rPr>
        <w:t>Ballarat</w:t>
      </w:r>
      <w:proofErr w:type="spellEnd"/>
      <w:r w:rsidRPr="002C30D6">
        <w:rPr>
          <w:rFonts w:cs="TisaSansPro"/>
          <w:color w:val="auto"/>
          <w:sz w:val="24"/>
          <w:szCs w:val="24"/>
          <w:lang w:val="en-GB"/>
        </w:rPr>
        <w:t>.</w:t>
      </w:r>
    </w:p>
    <w:p w:rsidR="00F22564" w:rsidRPr="00BE38C3" w:rsidRDefault="00F22564" w:rsidP="00F22564">
      <w:pPr>
        <w:shd w:val="clear" w:color="auto" w:fill="FFFFFF" w:themeFill="background1"/>
        <w:spacing w:after="120"/>
        <w:jc w:val="both"/>
        <w:rPr>
          <w:rFonts w:cs="Times New Roman"/>
          <w:color w:val="auto"/>
          <w:sz w:val="24"/>
          <w:szCs w:val="24"/>
          <w:lang w:val="it-IT"/>
        </w:rPr>
      </w:pPr>
      <w:r w:rsidRPr="00A60CE4">
        <w:rPr>
          <w:rFonts w:cs="Times New Roman"/>
          <w:color w:val="auto"/>
          <w:sz w:val="24"/>
          <w:szCs w:val="24"/>
          <w:lang w:val="it-IT"/>
        </w:rPr>
        <w:t xml:space="preserve">Gregorčič, M. (et al.) (2011). </w:t>
      </w:r>
      <w:r w:rsidRPr="00A60CE4">
        <w:rPr>
          <w:rFonts w:cs="Times New Roman"/>
          <w:i/>
          <w:color w:val="auto"/>
          <w:sz w:val="24"/>
          <w:szCs w:val="24"/>
          <w:lang w:val="it-IT"/>
        </w:rPr>
        <w:t xml:space="preserve">Kam po krizi? </w:t>
      </w:r>
      <w:r w:rsidRPr="00BE38C3">
        <w:rPr>
          <w:rFonts w:cs="Times New Roman"/>
          <w:color w:val="auto"/>
          <w:sz w:val="24"/>
          <w:szCs w:val="24"/>
          <w:lang w:val="it-IT"/>
        </w:rPr>
        <w:t>Ljubljana: Kabinet predsednika Vlade RS : Inštitut za civilizacijo in kulturo.</w:t>
      </w:r>
    </w:p>
    <w:p w:rsidR="00F22564" w:rsidRPr="002C30D6" w:rsidRDefault="00F22564" w:rsidP="00F22564">
      <w:pPr>
        <w:shd w:val="clear" w:color="auto" w:fill="FFFFFF" w:themeFill="background1"/>
        <w:spacing w:after="120"/>
        <w:jc w:val="both"/>
        <w:rPr>
          <w:rFonts w:cs="Times New Roman"/>
          <w:color w:val="auto"/>
          <w:sz w:val="24"/>
          <w:szCs w:val="24"/>
          <w:lang w:val="en-GB"/>
        </w:rPr>
      </w:pPr>
      <w:proofErr w:type="spellStart"/>
      <w:proofErr w:type="gramStart"/>
      <w:r w:rsidRPr="002C30D6">
        <w:rPr>
          <w:rFonts w:cs="Times New Roman"/>
          <w:color w:val="auto"/>
          <w:sz w:val="24"/>
          <w:szCs w:val="24"/>
          <w:lang w:val="en-GB"/>
        </w:rPr>
        <w:t>Gregorčič</w:t>
      </w:r>
      <w:proofErr w:type="spellEnd"/>
      <w:r w:rsidRPr="002C30D6">
        <w:rPr>
          <w:rFonts w:cs="Times New Roman"/>
          <w:color w:val="auto"/>
          <w:sz w:val="24"/>
          <w:szCs w:val="24"/>
          <w:lang w:val="en-GB"/>
        </w:rPr>
        <w:t xml:space="preserve">, M., and H. </w:t>
      </w:r>
      <w:proofErr w:type="spellStart"/>
      <w:r w:rsidRPr="002C30D6">
        <w:rPr>
          <w:rFonts w:cs="Times New Roman"/>
          <w:color w:val="auto"/>
          <w:sz w:val="24"/>
          <w:szCs w:val="24"/>
          <w:lang w:val="en-GB"/>
        </w:rPr>
        <w:t>Hanžek</w:t>
      </w:r>
      <w:proofErr w:type="spellEnd"/>
      <w:r w:rsidRPr="002C30D6">
        <w:rPr>
          <w:rFonts w:cs="Times New Roman"/>
          <w:color w:val="auto"/>
          <w:sz w:val="24"/>
          <w:szCs w:val="24"/>
          <w:lang w:val="en-GB"/>
        </w:rPr>
        <w:t xml:space="preserve"> (eds.) (2001).</w:t>
      </w:r>
      <w:proofErr w:type="gramEnd"/>
      <w:r w:rsidRPr="002C30D6">
        <w:rPr>
          <w:rFonts w:cs="Times New Roman"/>
          <w:color w:val="auto"/>
          <w:sz w:val="24"/>
          <w:szCs w:val="24"/>
          <w:lang w:val="en-GB"/>
        </w:rPr>
        <w:t xml:space="preserve"> </w:t>
      </w:r>
      <w:r w:rsidRPr="002C30D6">
        <w:rPr>
          <w:rFonts w:cs="Times New Roman"/>
          <w:i/>
          <w:color w:val="auto"/>
          <w:sz w:val="24"/>
          <w:szCs w:val="24"/>
          <w:lang w:val="en-GB"/>
        </w:rPr>
        <w:t xml:space="preserve">Human Development Report: Slovenia 2000-2001. </w:t>
      </w:r>
      <w:r w:rsidRPr="002C30D6">
        <w:rPr>
          <w:rFonts w:cs="Times New Roman"/>
          <w:color w:val="auto"/>
          <w:sz w:val="24"/>
          <w:szCs w:val="24"/>
          <w:lang w:val="en-GB"/>
        </w:rPr>
        <w:t>Ljubljana: IMAD.</w:t>
      </w:r>
    </w:p>
    <w:p w:rsidR="00F22564" w:rsidRPr="002C30D6" w:rsidRDefault="00F22564" w:rsidP="00F22564">
      <w:pPr>
        <w:shd w:val="clear" w:color="auto" w:fill="FFFFFF" w:themeFill="background1"/>
        <w:spacing w:after="120"/>
        <w:jc w:val="both"/>
        <w:rPr>
          <w:rFonts w:cs="Times New Roman"/>
          <w:color w:val="auto"/>
          <w:sz w:val="24"/>
          <w:szCs w:val="24"/>
          <w:lang w:val="en-GB"/>
        </w:rPr>
      </w:pPr>
      <w:proofErr w:type="spellStart"/>
      <w:proofErr w:type="gramStart"/>
      <w:r w:rsidRPr="002C30D6">
        <w:rPr>
          <w:rFonts w:cs="Times New Roman"/>
          <w:color w:val="auto"/>
          <w:sz w:val="24"/>
          <w:szCs w:val="24"/>
          <w:lang w:val="en-GB"/>
        </w:rPr>
        <w:t>Gregorčič</w:t>
      </w:r>
      <w:proofErr w:type="spellEnd"/>
      <w:r w:rsidRPr="002C30D6">
        <w:rPr>
          <w:rFonts w:cs="Times New Roman"/>
          <w:color w:val="auto"/>
          <w:sz w:val="24"/>
          <w:szCs w:val="24"/>
          <w:lang w:val="en-GB"/>
        </w:rPr>
        <w:t>, M. (2017).</w:t>
      </w:r>
      <w:proofErr w:type="gramEnd"/>
      <w:r w:rsidRPr="002C30D6">
        <w:rPr>
          <w:rFonts w:cs="Times New Roman"/>
          <w:color w:val="auto"/>
          <w:sz w:val="24"/>
          <w:szCs w:val="24"/>
          <w:lang w:val="en-GB"/>
        </w:rPr>
        <w:t xml:space="preserve"> </w:t>
      </w:r>
      <w:proofErr w:type="spellStart"/>
      <w:proofErr w:type="gramStart"/>
      <w:r w:rsidRPr="002C30D6">
        <w:rPr>
          <w:rFonts w:cs="Times New Roman"/>
          <w:color w:val="auto"/>
          <w:sz w:val="24"/>
          <w:szCs w:val="24"/>
          <w:lang w:val="en-GB"/>
        </w:rPr>
        <w:t>Participacija</w:t>
      </w:r>
      <w:proofErr w:type="spellEnd"/>
      <w:r w:rsidRPr="002C30D6">
        <w:rPr>
          <w:rFonts w:cs="Times New Roman"/>
          <w:color w:val="auto"/>
          <w:sz w:val="24"/>
          <w:szCs w:val="24"/>
          <w:lang w:val="en-GB"/>
        </w:rPr>
        <w:t xml:space="preserve"> </w:t>
      </w:r>
      <w:proofErr w:type="spellStart"/>
      <w:r w:rsidRPr="002C30D6">
        <w:rPr>
          <w:rFonts w:cs="Times New Roman"/>
          <w:color w:val="auto"/>
          <w:sz w:val="24"/>
          <w:szCs w:val="24"/>
          <w:lang w:val="en-GB"/>
        </w:rPr>
        <w:t>starejših</w:t>
      </w:r>
      <w:proofErr w:type="spellEnd"/>
      <w:r w:rsidRPr="002C30D6">
        <w:rPr>
          <w:rFonts w:cs="Times New Roman"/>
          <w:color w:val="auto"/>
          <w:sz w:val="24"/>
          <w:szCs w:val="24"/>
          <w:lang w:val="en-GB"/>
        </w:rPr>
        <w:t xml:space="preserve"> </w:t>
      </w:r>
      <w:proofErr w:type="spellStart"/>
      <w:r w:rsidRPr="002C30D6">
        <w:rPr>
          <w:rFonts w:cs="Times New Roman"/>
          <w:color w:val="auto"/>
          <w:sz w:val="24"/>
          <w:szCs w:val="24"/>
          <w:lang w:val="en-GB"/>
        </w:rPr>
        <w:t>odraslih</w:t>
      </w:r>
      <w:proofErr w:type="spellEnd"/>
      <w:r w:rsidRPr="002C30D6">
        <w:rPr>
          <w:rFonts w:cs="Times New Roman"/>
          <w:color w:val="auto"/>
          <w:sz w:val="24"/>
          <w:szCs w:val="24"/>
          <w:lang w:val="en-GB"/>
        </w:rPr>
        <w:t xml:space="preserve"> v </w:t>
      </w:r>
      <w:proofErr w:type="spellStart"/>
      <w:r w:rsidRPr="002C30D6">
        <w:rPr>
          <w:rFonts w:cs="Times New Roman"/>
          <w:color w:val="auto"/>
          <w:sz w:val="24"/>
          <w:szCs w:val="24"/>
          <w:lang w:val="en-GB"/>
        </w:rPr>
        <w:t>praksah</w:t>
      </w:r>
      <w:proofErr w:type="spellEnd"/>
      <w:r w:rsidRPr="002C30D6">
        <w:rPr>
          <w:rFonts w:cs="Times New Roman"/>
          <w:color w:val="auto"/>
          <w:sz w:val="24"/>
          <w:szCs w:val="24"/>
          <w:lang w:val="en-GB"/>
        </w:rPr>
        <w:t xml:space="preserve"> </w:t>
      </w:r>
      <w:proofErr w:type="spellStart"/>
      <w:r w:rsidRPr="002C30D6">
        <w:rPr>
          <w:rFonts w:cs="Times New Roman"/>
          <w:color w:val="auto"/>
          <w:sz w:val="24"/>
          <w:szCs w:val="24"/>
          <w:lang w:val="en-GB"/>
        </w:rPr>
        <w:t>skupnosti</w:t>
      </w:r>
      <w:proofErr w:type="spellEnd"/>
      <w:r w:rsidRPr="002C30D6">
        <w:rPr>
          <w:rFonts w:cs="Times New Roman"/>
          <w:color w:val="auto"/>
          <w:sz w:val="24"/>
          <w:szCs w:val="24"/>
          <w:lang w:val="en-GB"/>
        </w:rPr>
        <w:t xml:space="preserve"> in v </w:t>
      </w:r>
      <w:proofErr w:type="spellStart"/>
      <w:r w:rsidRPr="002C30D6">
        <w:rPr>
          <w:rFonts w:cs="Times New Roman"/>
          <w:color w:val="auto"/>
          <w:sz w:val="24"/>
          <w:szCs w:val="24"/>
          <w:lang w:val="en-GB"/>
        </w:rPr>
        <w:t>skupnosti</w:t>
      </w:r>
      <w:proofErr w:type="spellEnd"/>
      <w:r w:rsidRPr="002C30D6">
        <w:rPr>
          <w:rFonts w:cs="Times New Roman"/>
          <w:color w:val="auto"/>
          <w:sz w:val="24"/>
          <w:szCs w:val="24"/>
          <w:lang w:val="en-GB"/>
        </w:rPr>
        <w:t xml:space="preserve"> </w:t>
      </w:r>
      <w:proofErr w:type="spellStart"/>
      <w:r w:rsidRPr="002C30D6">
        <w:rPr>
          <w:rFonts w:cs="Times New Roman"/>
          <w:color w:val="auto"/>
          <w:sz w:val="24"/>
          <w:szCs w:val="24"/>
          <w:lang w:val="en-GB"/>
        </w:rPr>
        <w:t>prakse</w:t>
      </w:r>
      <w:proofErr w:type="spellEnd"/>
      <w:r w:rsidRPr="002C30D6">
        <w:rPr>
          <w:rFonts w:cs="Times New Roman"/>
          <w:color w:val="auto"/>
          <w:sz w:val="24"/>
          <w:szCs w:val="24"/>
          <w:lang w:val="en-GB"/>
        </w:rPr>
        <w:t>.</w:t>
      </w:r>
      <w:proofErr w:type="gramEnd"/>
      <w:r w:rsidRPr="002C30D6">
        <w:rPr>
          <w:rFonts w:cs="Times New Roman"/>
          <w:color w:val="auto"/>
          <w:sz w:val="24"/>
          <w:szCs w:val="24"/>
          <w:lang w:val="en-GB"/>
        </w:rPr>
        <w:t xml:space="preserve"> </w:t>
      </w:r>
      <w:proofErr w:type="spellStart"/>
      <w:r w:rsidRPr="002C30D6">
        <w:rPr>
          <w:rFonts w:cs="Times New Roman"/>
          <w:i/>
          <w:color w:val="auto"/>
          <w:sz w:val="24"/>
          <w:szCs w:val="24"/>
          <w:lang w:val="en-GB"/>
        </w:rPr>
        <w:t>Andragoška</w:t>
      </w:r>
      <w:proofErr w:type="spellEnd"/>
      <w:r w:rsidRPr="002C30D6">
        <w:rPr>
          <w:rFonts w:cs="Times New Roman"/>
          <w:i/>
          <w:color w:val="auto"/>
          <w:sz w:val="24"/>
          <w:szCs w:val="24"/>
          <w:lang w:val="en-GB"/>
        </w:rPr>
        <w:t xml:space="preserve"> </w:t>
      </w:r>
      <w:proofErr w:type="spellStart"/>
      <w:r w:rsidRPr="002C30D6">
        <w:rPr>
          <w:rFonts w:cs="Times New Roman"/>
          <w:i/>
          <w:color w:val="auto"/>
          <w:sz w:val="24"/>
          <w:szCs w:val="24"/>
          <w:lang w:val="en-GB"/>
        </w:rPr>
        <w:t>spoznanja</w:t>
      </w:r>
      <w:proofErr w:type="spellEnd"/>
      <w:r w:rsidRPr="002C30D6">
        <w:rPr>
          <w:rFonts w:cs="Times New Roman"/>
          <w:color w:val="auto"/>
          <w:sz w:val="24"/>
          <w:szCs w:val="24"/>
          <w:lang w:val="en-GB"/>
        </w:rPr>
        <w:t>, 23(3): 35</w:t>
      </w:r>
      <w:r w:rsidRPr="002C30D6">
        <w:rPr>
          <w:rFonts w:cs="TisaSansPro"/>
          <w:color w:val="auto"/>
          <w:sz w:val="24"/>
          <w:szCs w:val="24"/>
          <w:lang w:val="en-GB"/>
        </w:rPr>
        <w:t>–</w:t>
      </w:r>
      <w:r w:rsidRPr="002C30D6">
        <w:rPr>
          <w:rFonts w:cs="Times New Roman"/>
          <w:color w:val="auto"/>
          <w:sz w:val="24"/>
          <w:szCs w:val="24"/>
          <w:lang w:val="en-GB"/>
        </w:rPr>
        <w:t>53.</w:t>
      </w:r>
    </w:p>
    <w:p w:rsidR="00F22564" w:rsidRPr="002C30D6" w:rsidRDefault="00F22564" w:rsidP="00F22564">
      <w:pPr>
        <w:shd w:val="clear" w:color="auto" w:fill="FFFFFF" w:themeFill="background1"/>
        <w:spacing w:after="120"/>
        <w:jc w:val="both"/>
        <w:rPr>
          <w:rFonts w:cs="Times New Roman"/>
          <w:color w:val="auto"/>
          <w:sz w:val="24"/>
          <w:szCs w:val="24"/>
          <w:lang w:val="en-GB"/>
        </w:rPr>
      </w:pPr>
      <w:proofErr w:type="spellStart"/>
      <w:proofErr w:type="gramStart"/>
      <w:r w:rsidRPr="002C30D6">
        <w:rPr>
          <w:rFonts w:cs="Times New Roman"/>
          <w:color w:val="auto"/>
          <w:sz w:val="24"/>
          <w:szCs w:val="24"/>
          <w:lang w:val="en-GB"/>
        </w:rPr>
        <w:t>Gregorčič</w:t>
      </w:r>
      <w:proofErr w:type="spellEnd"/>
      <w:r w:rsidRPr="002C30D6">
        <w:rPr>
          <w:rFonts w:cs="Times New Roman"/>
          <w:color w:val="auto"/>
          <w:sz w:val="24"/>
          <w:szCs w:val="24"/>
          <w:lang w:val="en-GB"/>
        </w:rPr>
        <w:t xml:space="preserve">, M., and S. </w:t>
      </w:r>
      <w:proofErr w:type="spellStart"/>
      <w:r w:rsidRPr="002C30D6">
        <w:rPr>
          <w:rFonts w:cs="Times New Roman"/>
          <w:color w:val="auto"/>
          <w:sz w:val="24"/>
          <w:szCs w:val="24"/>
          <w:lang w:val="en-GB"/>
        </w:rPr>
        <w:t>Jelenc</w:t>
      </w:r>
      <w:proofErr w:type="spellEnd"/>
      <w:r w:rsidRPr="002C30D6">
        <w:rPr>
          <w:rFonts w:cs="Times New Roman"/>
          <w:color w:val="auto"/>
          <w:sz w:val="24"/>
          <w:szCs w:val="24"/>
          <w:lang w:val="en-GB"/>
        </w:rPr>
        <w:t xml:space="preserve"> </w:t>
      </w:r>
      <w:proofErr w:type="spellStart"/>
      <w:r w:rsidRPr="002C30D6">
        <w:rPr>
          <w:rFonts w:cs="Times New Roman"/>
          <w:color w:val="auto"/>
          <w:sz w:val="24"/>
          <w:szCs w:val="24"/>
          <w:lang w:val="en-GB"/>
        </w:rPr>
        <w:t>Krašovec</w:t>
      </w:r>
      <w:proofErr w:type="spellEnd"/>
      <w:r w:rsidRPr="002C30D6">
        <w:rPr>
          <w:rFonts w:cs="Times New Roman"/>
          <w:color w:val="auto"/>
          <w:sz w:val="24"/>
          <w:szCs w:val="24"/>
          <w:lang w:val="en-GB"/>
        </w:rPr>
        <w:t xml:space="preserve"> (2017).</w:t>
      </w:r>
      <w:proofErr w:type="gramEnd"/>
      <w:r w:rsidRPr="002C30D6">
        <w:rPr>
          <w:rFonts w:cs="Times New Roman"/>
          <w:color w:val="auto"/>
          <w:sz w:val="24"/>
          <w:szCs w:val="24"/>
          <w:lang w:val="en-GB"/>
        </w:rPr>
        <w:t xml:space="preserve"> Pedagogical dimensions of participatory democracy: Learning through self-organized communities and participatory budgeting in Maribor, Slovenia. </w:t>
      </w:r>
      <w:proofErr w:type="gramStart"/>
      <w:r w:rsidRPr="002C30D6">
        <w:rPr>
          <w:rFonts w:cs="Times New Roman"/>
          <w:color w:val="auto"/>
          <w:sz w:val="24"/>
          <w:szCs w:val="24"/>
          <w:lang w:val="en-GB"/>
        </w:rPr>
        <w:t xml:space="preserve">In G. A. </w:t>
      </w:r>
      <w:proofErr w:type="spellStart"/>
      <w:r w:rsidRPr="002C30D6">
        <w:rPr>
          <w:rFonts w:cs="Times New Roman"/>
          <w:color w:val="auto"/>
          <w:sz w:val="24"/>
          <w:szCs w:val="24"/>
          <w:lang w:val="en-GB"/>
        </w:rPr>
        <w:t>Koulaouzides</w:t>
      </w:r>
      <w:proofErr w:type="spellEnd"/>
      <w:r w:rsidRPr="002C30D6">
        <w:rPr>
          <w:rFonts w:cs="Times New Roman"/>
          <w:color w:val="auto"/>
          <w:sz w:val="24"/>
          <w:szCs w:val="24"/>
          <w:lang w:val="en-GB"/>
        </w:rPr>
        <w:t xml:space="preserve"> and K. </w:t>
      </w:r>
      <w:proofErr w:type="spellStart"/>
      <w:r w:rsidRPr="002C30D6">
        <w:rPr>
          <w:rFonts w:cs="Times New Roman"/>
          <w:color w:val="auto"/>
          <w:sz w:val="24"/>
          <w:szCs w:val="24"/>
          <w:lang w:val="en-GB"/>
        </w:rPr>
        <w:t>Popović</w:t>
      </w:r>
      <w:proofErr w:type="spellEnd"/>
      <w:r w:rsidRPr="002C30D6">
        <w:rPr>
          <w:rFonts w:cs="Times New Roman"/>
          <w:color w:val="auto"/>
          <w:sz w:val="24"/>
          <w:szCs w:val="24"/>
          <w:lang w:val="en-GB"/>
        </w:rPr>
        <w:t xml:space="preserve"> (eds.), </w:t>
      </w:r>
      <w:r w:rsidRPr="002C30D6">
        <w:rPr>
          <w:rFonts w:cs="Times New Roman"/>
          <w:i/>
          <w:color w:val="auto"/>
          <w:sz w:val="24"/>
          <w:szCs w:val="24"/>
          <w:lang w:val="en-GB"/>
        </w:rPr>
        <w:t>Adult Education and Lifelong Learning in Southern Europe.</w:t>
      </w:r>
      <w:proofErr w:type="gramEnd"/>
      <w:r w:rsidRPr="002C30D6">
        <w:rPr>
          <w:rFonts w:cs="Times New Roman"/>
          <w:i/>
          <w:color w:val="auto"/>
          <w:sz w:val="24"/>
          <w:szCs w:val="24"/>
          <w:lang w:val="en-GB"/>
        </w:rPr>
        <w:t xml:space="preserve"> A Critical View on Policy and Practice</w:t>
      </w:r>
      <w:r w:rsidRPr="002C30D6">
        <w:rPr>
          <w:rFonts w:cs="Times New Roman"/>
          <w:color w:val="auto"/>
          <w:sz w:val="24"/>
          <w:szCs w:val="24"/>
          <w:lang w:val="en-GB"/>
        </w:rPr>
        <w:t xml:space="preserve"> (pp. 27–39). </w:t>
      </w:r>
      <w:proofErr w:type="gramStart"/>
      <w:r w:rsidRPr="002C30D6">
        <w:rPr>
          <w:rFonts w:cs="Times New Roman"/>
          <w:color w:val="auto"/>
          <w:sz w:val="24"/>
          <w:szCs w:val="24"/>
          <w:lang w:val="en-GB"/>
        </w:rPr>
        <w:t>Rotterdam/Boston/Taipei, Sense Publisher.</w:t>
      </w:r>
      <w:proofErr w:type="gramEnd"/>
    </w:p>
    <w:p w:rsidR="00F22564" w:rsidRPr="002C30D6" w:rsidRDefault="00F22564" w:rsidP="00F22564">
      <w:pPr>
        <w:shd w:val="clear" w:color="auto" w:fill="FFFFFF" w:themeFill="background1"/>
        <w:spacing w:after="120"/>
        <w:jc w:val="both"/>
        <w:rPr>
          <w:rFonts w:cs="Times New Roman"/>
          <w:color w:val="auto"/>
          <w:sz w:val="24"/>
          <w:szCs w:val="24"/>
          <w:lang w:val="en-GB"/>
        </w:rPr>
      </w:pPr>
      <w:proofErr w:type="spellStart"/>
      <w:r w:rsidRPr="002C30D6">
        <w:rPr>
          <w:rFonts w:cs="Times New Roman"/>
          <w:color w:val="auto"/>
          <w:sz w:val="24"/>
          <w:szCs w:val="24"/>
          <w:lang w:val="en-GB"/>
        </w:rPr>
        <w:t>Hlebec</w:t>
      </w:r>
      <w:proofErr w:type="spellEnd"/>
      <w:r w:rsidRPr="002C30D6">
        <w:rPr>
          <w:rFonts w:cs="Times New Roman"/>
          <w:color w:val="auto"/>
          <w:sz w:val="24"/>
          <w:szCs w:val="24"/>
          <w:lang w:val="en-GB"/>
        </w:rPr>
        <w:t xml:space="preserve">, V., J. Mali and M. </w:t>
      </w:r>
      <w:proofErr w:type="spellStart"/>
      <w:r w:rsidRPr="002C30D6">
        <w:rPr>
          <w:rFonts w:cs="Times New Roman"/>
          <w:color w:val="auto"/>
          <w:sz w:val="24"/>
          <w:szCs w:val="24"/>
          <w:lang w:val="en-GB"/>
        </w:rPr>
        <w:t>Filipovič</w:t>
      </w:r>
      <w:proofErr w:type="spellEnd"/>
      <w:r w:rsidRPr="002C30D6">
        <w:rPr>
          <w:rFonts w:cs="Times New Roman"/>
          <w:color w:val="auto"/>
          <w:sz w:val="24"/>
          <w:szCs w:val="24"/>
          <w:lang w:val="en-GB"/>
        </w:rPr>
        <w:t xml:space="preserve"> </w:t>
      </w:r>
      <w:proofErr w:type="spellStart"/>
      <w:r w:rsidRPr="002C30D6">
        <w:rPr>
          <w:rFonts w:cs="Times New Roman"/>
          <w:color w:val="auto"/>
          <w:sz w:val="24"/>
          <w:szCs w:val="24"/>
          <w:lang w:val="en-GB"/>
        </w:rPr>
        <w:t>Hrast</w:t>
      </w:r>
      <w:proofErr w:type="spellEnd"/>
      <w:r w:rsidRPr="002C30D6">
        <w:rPr>
          <w:rFonts w:cs="Times New Roman"/>
          <w:color w:val="auto"/>
          <w:sz w:val="24"/>
          <w:szCs w:val="24"/>
          <w:lang w:val="en-GB"/>
        </w:rPr>
        <w:t xml:space="preserve"> (2014): Community care for older people in Slovenia. </w:t>
      </w:r>
      <w:r w:rsidRPr="002C30D6">
        <w:rPr>
          <w:rFonts w:cs="Times New Roman"/>
          <w:i/>
          <w:color w:val="auto"/>
          <w:sz w:val="24"/>
          <w:szCs w:val="24"/>
          <w:lang w:val="en-GB"/>
        </w:rPr>
        <w:t>Anthropological Notebooks</w:t>
      </w:r>
      <w:r w:rsidRPr="002C30D6">
        <w:rPr>
          <w:rFonts w:cs="Times New Roman"/>
          <w:color w:val="auto"/>
          <w:sz w:val="24"/>
          <w:szCs w:val="24"/>
          <w:lang w:val="en-GB"/>
        </w:rPr>
        <w:t>, 20(1), 5–20.</w:t>
      </w:r>
    </w:p>
    <w:p w:rsidR="00F22564" w:rsidRPr="002C30D6" w:rsidRDefault="00F22564" w:rsidP="00F22564">
      <w:pPr>
        <w:spacing w:after="120"/>
        <w:rPr>
          <w:rFonts w:eastAsia="Times New Roman" w:cs="Arial"/>
          <w:color w:val="auto"/>
          <w:sz w:val="24"/>
          <w:szCs w:val="24"/>
          <w:lang w:val="en-GB" w:eastAsia="sl-SI"/>
        </w:rPr>
      </w:pPr>
      <w:proofErr w:type="gramStart"/>
      <w:r w:rsidRPr="002C30D6">
        <w:rPr>
          <w:rFonts w:eastAsia="Times New Roman" w:cs="Times New Roman"/>
          <w:color w:val="auto"/>
          <w:sz w:val="24"/>
          <w:szCs w:val="24"/>
          <w:lang w:val="en-GB" w:eastAsia="sl-SI"/>
        </w:rPr>
        <w:t>IMAD (2016).</w:t>
      </w:r>
      <w:proofErr w:type="gramEnd"/>
      <w:r w:rsidRPr="002C30D6">
        <w:rPr>
          <w:rFonts w:eastAsia="Times New Roman" w:cs="Times New Roman"/>
          <w:color w:val="auto"/>
          <w:sz w:val="24"/>
          <w:szCs w:val="24"/>
          <w:lang w:val="en-GB" w:eastAsia="sl-SI"/>
        </w:rPr>
        <w:t xml:space="preserve"> </w:t>
      </w:r>
      <w:proofErr w:type="gramStart"/>
      <w:r w:rsidRPr="002C30D6">
        <w:rPr>
          <w:rFonts w:eastAsia="Times New Roman" w:cs="Times New Roman"/>
          <w:i/>
          <w:color w:val="auto"/>
          <w:sz w:val="24"/>
          <w:szCs w:val="24"/>
          <w:lang w:val="en-GB" w:eastAsia="sl-SI"/>
        </w:rPr>
        <w:t>Demographi</w:t>
      </w:r>
      <w:r w:rsidRPr="002C30D6">
        <w:rPr>
          <w:rFonts w:eastAsia="Times New Roman" w:cs="Arial"/>
          <w:i/>
          <w:color w:val="auto"/>
          <w:sz w:val="24"/>
          <w:szCs w:val="24"/>
          <w:lang w:val="en-GB" w:eastAsia="sl-SI"/>
        </w:rPr>
        <w:t>c change and its economic and social consequences.</w:t>
      </w:r>
      <w:proofErr w:type="gramEnd"/>
      <w:r w:rsidRPr="002C30D6">
        <w:rPr>
          <w:rFonts w:eastAsia="Times New Roman" w:cs="Arial"/>
          <w:color w:val="auto"/>
          <w:sz w:val="24"/>
          <w:szCs w:val="24"/>
          <w:lang w:val="en-GB" w:eastAsia="sl-SI"/>
        </w:rPr>
        <w:t xml:space="preserve"> Ljubljana: IMAD. Available at: http://www.umar.gov.si/fileadmin/user_upload/publikacije/kratke_analize/Demographic_change_IMAD_May_2016.pdf</w:t>
      </w:r>
    </w:p>
    <w:p w:rsidR="00F22564" w:rsidRPr="002C30D6" w:rsidRDefault="00F22564" w:rsidP="00F22564">
      <w:pPr>
        <w:spacing w:after="120"/>
        <w:rPr>
          <w:rFonts w:cs="TisaSansPro"/>
          <w:color w:val="auto"/>
          <w:sz w:val="24"/>
          <w:szCs w:val="24"/>
          <w:lang w:val="en-GB"/>
        </w:rPr>
      </w:pPr>
      <w:proofErr w:type="gramStart"/>
      <w:r w:rsidRPr="002C30D6">
        <w:rPr>
          <w:rFonts w:cs="TisaSansPro"/>
          <w:color w:val="auto"/>
          <w:sz w:val="24"/>
          <w:szCs w:val="24"/>
          <w:lang w:val="en-GB"/>
        </w:rPr>
        <w:lastRenderedPageBreak/>
        <w:t>IMAD (2018).</w:t>
      </w:r>
      <w:proofErr w:type="gramEnd"/>
      <w:r w:rsidRPr="002C30D6">
        <w:rPr>
          <w:rFonts w:cs="TisaSansPro"/>
          <w:color w:val="auto"/>
          <w:sz w:val="24"/>
          <w:szCs w:val="24"/>
          <w:lang w:val="en-GB"/>
        </w:rPr>
        <w:t xml:space="preserve"> </w:t>
      </w:r>
      <w:proofErr w:type="gramStart"/>
      <w:r w:rsidRPr="002C30D6">
        <w:rPr>
          <w:rFonts w:cs="TisaSansPro"/>
          <w:i/>
          <w:color w:val="auto"/>
          <w:sz w:val="24"/>
          <w:szCs w:val="24"/>
          <w:lang w:val="en-GB"/>
        </w:rPr>
        <w:t>Active Ageing Strategy</w:t>
      </w:r>
      <w:r w:rsidRPr="002C30D6">
        <w:rPr>
          <w:rFonts w:cs="TisaSansPro"/>
          <w:color w:val="auto"/>
          <w:sz w:val="24"/>
          <w:szCs w:val="24"/>
          <w:lang w:val="en-GB"/>
        </w:rPr>
        <w:t>.</w:t>
      </w:r>
      <w:proofErr w:type="gramEnd"/>
      <w:r w:rsidRPr="002C30D6">
        <w:rPr>
          <w:rFonts w:cs="TisaSansPro"/>
          <w:color w:val="auto"/>
          <w:sz w:val="24"/>
          <w:szCs w:val="24"/>
          <w:lang w:val="en-GB"/>
        </w:rPr>
        <w:t xml:space="preserve"> Ljubljana: Institute of Macroeconomic Analysis and Development of the Republic of Slovenia, Ministry of Labour, Family, Social Affairs and Equal Opportunities.</w:t>
      </w:r>
    </w:p>
    <w:p w:rsidR="00F22564" w:rsidRPr="002C30D6" w:rsidRDefault="00F22564" w:rsidP="00F22564">
      <w:pPr>
        <w:shd w:val="clear" w:color="auto" w:fill="FFFFFF" w:themeFill="background1"/>
        <w:spacing w:after="120"/>
        <w:jc w:val="both"/>
        <w:rPr>
          <w:rFonts w:cs="Times New Roman"/>
          <w:color w:val="auto"/>
          <w:sz w:val="24"/>
          <w:szCs w:val="24"/>
          <w:lang w:val="en-GB"/>
        </w:rPr>
      </w:pPr>
      <w:proofErr w:type="gramStart"/>
      <w:r w:rsidRPr="002C30D6">
        <w:rPr>
          <w:rFonts w:cs="Times New Roman"/>
          <w:color w:val="auto"/>
          <w:sz w:val="24"/>
          <w:szCs w:val="24"/>
          <w:lang w:val="en-GB"/>
        </w:rPr>
        <w:t>ISCED (2014).</w:t>
      </w:r>
      <w:proofErr w:type="gramEnd"/>
      <w:r w:rsidRPr="002C30D6">
        <w:rPr>
          <w:rFonts w:cs="Times New Roman"/>
          <w:color w:val="auto"/>
          <w:sz w:val="24"/>
          <w:szCs w:val="24"/>
          <w:lang w:val="en-GB"/>
        </w:rPr>
        <w:t xml:space="preserve"> </w:t>
      </w:r>
      <w:r w:rsidRPr="002C30D6">
        <w:rPr>
          <w:rFonts w:cs="Times New Roman"/>
          <w:i/>
          <w:color w:val="auto"/>
          <w:sz w:val="24"/>
          <w:szCs w:val="24"/>
          <w:lang w:val="en-GB"/>
        </w:rPr>
        <w:t>The Structure of the European Education Systems 2014/15: Schematic Diagrams</w:t>
      </w:r>
      <w:r w:rsidRPr="002C30D6">
        <w:rPr>
          <w:rFonts w:cs="Times New Roman"/>
          <w:color w:val="auto"/>
          <w:sz w:val="24"/>
          <w:szCs w:val="24"/>
          <w:lang w:val="en-GB"/>
        </w:rPr>
        <w:t xml:space="preserve"> (International Standard Classification of Education). Available at: </w:t>
      </w:r>
      <w:hyperlink r:id="rId12" w:history="1">
        <w:r w:rsidRPr="002C30D6">
          <w:rPr>
            <w:rStyle w:val="Hyperlink"/>
            <w:rFonts w:cs="Times New Roman"/>
            <w:color w:val="auto"/>
            <w:sz w:val="24"/>
            <w:szCs w:val="24"/>
            <w:lang w:val="en-GB"/>
          </w:rPr>
          <w:t>http://eacea.ec.europa.eu/education/eurydice/documents/facts_and_figures/education_structures_EN.pdf</w:t>
        </w:r>
      </w:hyperlink>
    </w:p>
    <w:p w:rsidR="00F22564" w:rsidRPr="002C30D6" w:rsidRDefault="00F22564" w:rsidP="00F22564">
      <w:pPr>
        <w:shd w:val="clear" w:color="auto" w:fill="FFFFFF" w:themeFill="background1"/>
        <w:spacing w:after="120"/>
        <w:jc w:val="both"/>
        <w:rPr>
          <w:rFonts w:eastAsia="Times New Roman" w:cs="Times New Roman"/>
          <w:color w:val="auto"/>
          <w:sz w:val="24"/>
          <w:szCs w:val="24"/>
          <w:lang w:val="en-GB" w:eastAsia="sl-SI"/>
        </w:rPr>
      </w:pPr>
      <w:proofErr w:type="spellStart"/>
      <w:proofErr w:type="gramStart"/>
      <w:r w:rsidRPr="002C30D6">
        <w:rPr>
          <w:rFonts w:eastAsia="Times New Roman" w:cs="Times New Roman"/>
          <w:color w:val="auto"/>
          <w:sz w:val="24"/>
          <w:szCs w:val="24"/>
          <w:lang w:val="en-GB" w:eastAsia="sl-SI"/>
        </w:rPr>
        <w:t>Jelenc</w:t>
      </w:r>
      <w:proofErr w:type="spellEnd"/>
      <w:r w:rsidRPr="002C30D6">
        <w:rPr>
          <w:rFonts w:eastAsia="Times New Roman" w:cs="Times New Roman"/>
          <w:color w:val="auto"/>
          <w:sz w:val="24"/>
          <w:szCs w:val="24"/>
          <w:lang w:val="en-GB" w:eastAsia="sl-SI"/>
        </w:rPr>
        <w:t xml:space="preserve"> </w:t>
      </w:r>
      <w:proofErr w:type="spellStart"/>
      <w:r w:rsidRPr="002C30D6">
        <w:rPr>
          <w:rFonts w:eastAsia="Times New Roman" w:cs="Times New Roman"/>
          <w:color w:val="auto"/>
          <w:sz w:val="24"/>
          <w:szCs w:val="24"/>
          <w:lang w:val="en-GB" w:eastAsia="sl-SI"/>
        </w:rPr>
        <w:t>Krašovec</w:t>
      </w:r>
      <w:proofErr w:type="spellEnd"/>
      <w:r w:rsidRPr="002C30D6">
        <w:rPr>
          <w:rFonts w:eastAsia="Times New Roman" w:cs="Times New Roman"/>
          <w:color w:val="auto"/>
          <w:sz w:val="24"/>
          <w:szCs w:val="24"/>
          <w:lang w:val="en-GB" w:eastAsia="sl-SI"/>
        </w:rPr>
        <w:t>, S., and M. Radovan (eds.) (2014).</w:t>
      </w:r>
      <w:proofErr w:type="gramEnd"/>
      <w:r w:rsidRPr="002C30D6">
        <w:rPr>
          <w:rFonts w:eastAsia="Times New Roman" w:cs="Times New Roman"/>
          <w:color w:val="auto"/>
          <w:sz w:val="24"/>
          <w:szCs w:val="24"/>
          <w:lang w:val="en-GB" w:eastAsia="sl-SI"/>
        </w:rPr>
        <w:t xml:space="preserve"> </w:t>
      </w:r>
      <w:r w:rsidRPr="002C30D6">
        <w:rPr>
          <w:rFonts w:eastAsia="Times New Roman" w:cs="Times New Roman"/>
          <w:i/>
          <w:color w:val="auto"/>
          <w:sz w:val="24"/>
          <w:szCs w:val="24"/>
          <w:lang w:val="en-GB" w:eastAsia="sl-SI"/>
        </w:rPr>
        <w:t>Older men learning in the community: European snapshots</w:t>
      </w:r>
      <w:r w:rsidRPr="002C30D6">
        <w:rPr>
          <w:rFonts w:eastAsia="Times New Roman" w:cs="Times New Roman"/>
          <w:color w:val="auto"/>
          <w:sz w:val="24"/>
          <w:szCs w:val="24"/>
          <w:lang w:val="en-GB" w:eastAsia="sl-SI"/>
        </w:rPr>
        <w:t xml:space="preserve">. Ljubljana, </w:t>
      </w:r>
      <w:proofErr w:type="spellStart"/>
      <w:r w:rsidRPr="002C30D6">
        <w:rPr>
          <w:rFonts w:eastAsia="Times New Roman" w:cs="Times New Roman"/>
          <w:color w:val="auto"/>
          <w:sz w:val="24"/>
          <w:szCs w:val="24"/>
          <w:lang w:val="en-GB" w:eastAsia="sl-SI"/>
        </w:rPr>
        <w:t>Slovenija</w:t>
      </w:r>
      <w:proofErr w:type="spellEnd"/>
      <w:r w:rsidRPr="002C30D6">
        <w:rPr>
          <w:rFonts w:eastAsia="Times New Roman" w:cs="Times New Roman"/>
          <w:color w:val="auto"/>
          <w:sz w:val="24"/>
          <w:szCs w:val="24"/>
          <w:lang w:val="en-GB" w:eastAsia="sl-SI"/>
        </w:rPr>
        <w:t xml:space="preserve">: </w:t>
      </w:r>
      <w:proofErr w:type="spellStart"/>
      <w:r w:rsidRPr="002C30D6">
        <w:rPr>
          <w:rFonts w:eastAsia="Times New Roman" w:cs="Times New Roman"/>
          <w:color w:val="auto"/>
          <w:sz w:val="24"/>
          <w:szCs w:val="24"/>
          <w:lang w:val="en-GB" w:eastAsia="sl-SI"/>
        </w:rPr>
        <w:t>Znanstvena</w:t>
      </w:r>
      <w:proofErr w:type="spellEnd"/>
      <w:r w:rsidRPr="002C30D6">
        <w:rPr>
          <w:rFonts w:eastAsia="Times New Roman" w:cs="Times New Roman"/>
          <w:color w:val="auto"/>
          <w:sz w:val="24"/>
          <w:szCs w:val="24"/>
          <w:lang w:val="en-GB" w:eastAsia="sl-SI"/>
        </w:rPr>
        <w:t xml:space="preserve"> </w:t>
      </w:r>
      <w:proofErr w:type="spellStart"/>
      <w:r w:rsidRPr="002C30D6">
        <w:rPr>
          <w:rFonts w:eastAsia="Times New Roman" w:cs="Times New Roman"/>
          <w:color w:val="auto"/>
          <w:sz w:val="24"/>
          <w:szCs w:val="24"/>
          <w:lang w:val="en-GB" w:eastAsia="sl-SI"/>
        </w:rPr>
        <w:t>založba</w:t>
      </w:r>
      <w:proofErr w:type="spellEnd"/>
      <w:r w:rsidRPr="002C30D6">
        <w:rPr>
          <w:rFonts w:eastAsia="Times New Roman" w:cs="Times New Roman"/>
          <w:color w:val="auto"/>
          <w:sz w:val="24"/>
          <w:szCs w:val="24"/>
          <w:lang w:val="en-GB" w:eastAsia="sl-SI"/>
        </w:rPr>
        <w:t xml:space="preserve"> </w:t>
      </w:r>
      <w:proofErr w:type="spellStart"/>
      <w:r w:rsidRPr="002C30D6">
        <w:rPr>
          <w:rFonts w:eastAsia="Times New Roman" w:cs="Times New Roman"/>
          <w:color w:val="auto"/>
          <w:sz w:val="24"/>
          <w:szCs w:val="24"/>
          <w:lang w:val="en-GB" w:eastAsia="sl-SI"/>
        </w:rPr>
        <w:t>Filozofske</w:t>
      </w:r>
      <w:proofErr w:type="spellEnd"/>
      <w:r w:rsidRPr="002C30D6">
        <w:rPr>
          <w:rFonts w:eastAsia="Times New Roman" w:cs="Times New Roman"/>
          <w:color w:val="auto"/>
          <w:sz w:val="24"/>
          <w:szCs w:val="24"/>
          <w:lang w:val="en-GB" w:eastAsia="sl-SI"/>
        </w:rPr>
        <w:t xml:space="preserve"> </w:t>
      </w:r>
      <w:proofErr w:type="spellStart"/>
      <w:r w:rsidRPr="002C30D6">
        <w:rPr>
          <w:rFonts w:eastAsia="Times New Roman" w:cs="Times New Roman"/>
          <w:color w:val="auto"/>
          <w:sz w:val="24"/>
          <w:szCs w:val="24"/>
          <w:lang w:val="en-GB" w:eastAsia="sl-SI"/>
        </w:rPr>
        <w:t>fakultete</w:t>
      </w:r>
      <w:proofErr w:type="spellEnd"/>
      <w:r w:rsidRPr="002C30D6">
        <w:rPr>
          <w:rFonts w:eastAsia="Times New Roman" w:cs="Times New Roman"/>
          <w:color w:val="auto"/>
          <w:sz w:val="24"/>
          <w:szCs w:val="24"/>
          <w:lang w:val="en-GB" w:eastAsia="sl-SI"/>
        </w:rPr>
        <w:t xml:space="preserve"> </w:t>
      </w:r>
      <w:proofErr w:type="spellStart"/>
      <w:r w:rsidRPr="002C30D6">
        <w:rPr>
          <w:rFonts w:eastAsia="Times New Roman" w:cs="Times New Roman"/>
          <w:color w:val="auto"/>
          <w:sz w:val="24"/>
          <w:szCs w:val="24"/>
          <w:lang w:val="en-GB" w:eastAsia="sl-SI"/>
        </w:rPr>
        <w:t>Univerze</w:t>
      </w:r>
      <w:proofErr w:type="spellEnd"/>
      <w:r w:rsidRPr="002C30D6">
        <w:rPr>
          <w:rFonts w:eastAsia="Times New Roman" w:cs="Times New Roman"/>
          <w:color w:val="auto"/>
          <w:sz w:val="24"/>
          <w:szCs w:val="24"/>
          <w:lang w:val="en-GB" w:eastAsia="sl-SI"/>
        </w:rPr>
        <w:t xml:space="preserve"> v </w:t>
      </w:r>
      <w:proofErr w:type="spellStart"/>
      <w:r w:rsidRPr="002C30D6">
        <w:rPr>
          <w:rFonts w:eastAsia="Times New Roman" w:cs="Times New Roman"/>
          <w:color w:val="auto"/>
          <w:sz w:val="24"/>
          <w:szCs w:val="24"/>
          <w:lang w:val="en-GB" w:eastAsia="sl-SI"/>
        </w:rPr>
        <w:t>Ljubljani</w:t>
      </w:r>
      <w:proofErr w:type="spellEnd"/>
      <w:r w:rsidRPr="002C30D6">
        <w:rPr>
          <w:rFonts w:eastAsia="Times New Roman" w:cs="Times New Roman"/>
          <w:color w:val="auto"/>
          <w:sz w:val="24"/>
          <w:szCs w:val="24"/>
          <w:lang w:val="en-GB" w:eastAsia="sl-SI"/>
        </w:rPr>
        <w:t xml:space="preserve">. </w:t>
      </w:r>
    </w:p>
    <w:p w:rsidR="00F22564" w:rsidRPr="002C30D6" w:rsidRDefault="00F22564" w:rsidP="00F22564">
      <w:pPr>
        <w:shd w:val="clear" w:color="auto" w:fill="FFFFFF" w:themeFill="background1"/>
        <w:spacing w:after="120"/>
        <w:jc w:val="both"/>
        <w:rPr>
          <w:rFonts w:eastAsia="Times New Roman" w:cs="Times New Roman"/>
          <w:color w:val="auto"/>
          <w:sz w:val="24"/>
          <w:szCs w:val="24"/>
          <w:lang w:val="en-GB" w:eastAsia="sl-SI"/>
        </w:rPr>
      </w:pPr>
      <w:proofErr w:type="spellStart"/>
      <w:proofErr w:type="gramStart"/>
      <w:r w:rsidRPr="002C30D6">
        <w:rPr>
          <w:rFonts w:eastAsia="Times New Roman" w:cs="Times New Roman"/>
          <w:color w:val="auto"/>
          <w:sz w:val="24"/>
          <w:szCs w:val="24"/>
          <w:lang w:val="en-GB" w:eastAsia="sl-SI"/>
        </w:rPr>
        <w:t>Jelenc</w:t>
      </w:r>
      <w:proofErr w:type="spellEnd"/>
      <w:r w:rsidRPr="002C30D6">
        <w:rPr>
          <w:rFonts w:eastAsia="Times New Roman" w:cs="Times New Roman"/>
          <w:color w:val="auto"/>
          <w:sz w:val="24"/>
          <w:szCs w:val="24"/>
          <w:lang w:val="en-GB" w:eastAsia="sl-SI"/>
        </w:rPr>
        <w:t xml:space="preserve"> </w:t>
      </w:r>
      <w:proofErr w:type="spellStart"/>
      <w:r w:rsidRPr="002C30D6">
        <w:rPr>
          <w:rFonts w:eastAsia="Times New Roman" w:cs="Times New Roman"/>
          <w:color w:val="auto"/>
          <w:sz w:val="24"/>
          <w:szCs w:val="24"/>
          <w:lang w:val="en-GB" w:eastAsia="sl-SI"/>
        </w:rPr>
        <w:t>Krašovec</w:t>
      </w:r>
      <w:proofErr w:type="spellEnd"/>
      <w:r w:rsidRPr="002C30D6">
        <w:rPr>
          <w:rFonts w:eastAsia="Times New Roman" w:cs="Times New Roman"/>
          <w:color w:val="auto"/>
          <w:sz w:val="24"/>
          <w:szCs w:val="24"/>
          <w:lang w:val="en-GB" w:eastAsia="sl-SI"/>
        </w:rPr>
        <w:t xml:space="preserve">, S., Š. </w:t>
      </w:r>
      <w:proofErr w:type="spellStart"/>
      <w:r w:rsidRPr="002C30D6">
        <w:rPr>
          <w:rFonts w:eastAsia="Times New Roman" w:cs="Times New Roman"/>
          <w:color w:val="auto"/>
          <w:sz w:val="24"/>
          <w:szCs w:val="24"/>
          <w:lang w:val="en-GB" w:eastAsia="sl-SI"/>
        </w:rPr>
        <w:t>Močilnikar</w:t>
      </w:r>
      <w:proofErr w:type="spellEnd"/>
      <w:r w:rsidRPr="002C30D6">
        <w:rPr>
          <w:rFonts w:eastAsia="Times New Roman" w:cs="Times New Roman"/>
          <w:color w:val="auto"/>
          <w:sz w:val="24"/>
          <w:szCs w:val="24"/>
          <w:lang w:val="en-GB" w:eastAsia="sl-SI"/>
        </w:rPr>
        <w:t>, and M. Radovan (2016).</w:t>
      </w:r>
      <w:proofErr w:type="gramEnd"/>
      <w:r w:rsidRPr="002C30D6">
        <w:rPr>
          <w:rFonts w:eastAsia="Times New Roman" w:cs="Times New Roman"/>
          <w:color w:val="auto"/>
          <w:sz w:val="24"/>
          <w:szCs w:val="24"/>
          <w:lang w:val="en-GB" w:eastAsia="sl-SI"/>
        </w:rPr>
        <w:t xml:space="preserve"> </w:t>
      </w:r>
      <w:proofErr w:type="gramStart"/>
      <w:r w:rsidRPr="002C30D6">
        <w:rPr>
          <w:rFonts w:eastAsia="Times New Roman" w:cs="Times New Roman"/>
          <w:color w:val="auto"/>
          <w:sz w:val="24"/>
          <w:szCs w:val="24"/>
          <w:lang w:val="en-GB" w:eastAsia="sl-SI"/>
        </w:rPr>
        <w:t>Learning of Older Men in Voluntary Associations.</w:t>
      </w:r>
      <w:proofErr w:type="gramEnd"/>
      <w:r w:rsidRPr="002C30D6">
        <w:rPr>
          <w:rFonts w:eastAsia="Times New Roman" w:cs="Times New Roman"/>
          <w:color w:val="auto"/>
          <w:sz w:val="24"/>
          <w:szCs w:val="24"/>
          <w:lang w:val="en-GB" w:eastAsia="sl-SI"/>
        </w:rPr>
        <w:t xml:space="preserve"> </w:t>
      </w:r>
      <w:r w:rsidRPr="002C30D6">
        <w:rPr>
          <w:rFonts w:eastAsia="Times New Roman" w:cs="Times New Roman"/>
          <w:i/>
          <w:color w:val="auto"/>
          <w:sz w:val="24"/>
          <w:szCs w:val="24"/>
          <w:lang w:val="en-GB" w:eastAsia="sl-SI"/>
        </w:rPr>
        <w:t>International Scientific Researches Journal</w:t>
      </w:r>
      <w:r w:rsidRPr="002C30D6">
        <w:rPr>
          <w:rFonts w:eastAsia="Times New Roman" w:cs="Times New Roman"/>
          <w:color w:val="auto"/>
          <w:sz w:val="24"/>
          <w:szCs w:val="24"/>
          <w:lang w:val="en-GB" w:eastAsia="sl-SI"/>
        </w:rPr>
        <w:t>, 72(9), 39</w:t>
      </w:r>
      <w:r w:rsidRPr="002C30D6">
        <w:rPr>
          <w:rFonts w:cs="TisaSansPro"/>
          <w:color w:val="auto"/>
          <w:sz w:val="24"/>
          <w:szCs w:val="24"/>
          <w:lang w:val="en-GB"/>
        </w:rPr>
        <w:t>–</w:t>
      </w:r>
      <w:r w:rsidRPr="002C30D6">
        <w:rPr>
          <w:rFonts w:eastAsia="Times New Roman" w:cs="Times New Roman"/>
          <w:color w:val="auto"/>
          <w:sz w:val="24"/>
          <w:szCs w:val="24"/>
          <w:lang w:val="en-GB" w:eastAsia="sl-SI"/>
        </w:rPr>
        <w:t>51.</w:t>
      </w:r>
    </w:p>
    <w:p w:rsidR="00F22564" w:rsidRPr="002C30D6" w:rsidRDefault="00F22564" w:rsidP="00F22564">
      <w:pPr>
        <w:spacing w:after="120"/>
        <w:rPr>
          <w:rFonts w:cs="TisaSansPro"/>
          <w:color w:val="auto"/>
          <w:sz w:val="24"/>
          <w:szCs w:val="24"/>
          <w:lang w:val="en-GB"/>
        </w:rPr>
      </w:pPr>
      <w:proofErr w:type="spellStart"/>
      <w:r w:rsidRPr="002C30D6">
        <w:rPr>
          <w:rFonts w:cs="TisaSansPro"/>
          <w:color w:val="auto"/>
          <w:sz w:val="24"/>
          <w:szCs w:val="24"/>
          <w:lang w:val="en-GB"/>
        </w:rPr>
        <w:t>Jelenc</w:t>
      </w:r>
      <w:proofErr w:type="spellEnd"/>
      <w:r w:rsidRPr="002C30D6">
        <w:rPr>
          <w:rFonts w:cs="TisaSansPro"/>
          <w:color w:val="auto"/>
          <w:sz w:val="24"/>
          <w:szCs w:val="24"/>
          <w:lang w:val="en-GB"/>
        </w:rPr>
        <w:t xml:space="preserve">, Z. (ed.) (2007). </w:t>
      </w:r>
      <w:proofErr w:type="gramStart"/>
      <w:r w:rsidRPr="002C30D6">
        <w:rPr>
          <w:rFonts w:cs="TisaSansPro"/>
          <w:i/>
          <w:color w:val="auto"/>
          <w:sz w:val="24"/>
          <w:szCs w:val="24"/>
          <w:lang w:val="en-GB"/>
        </w:rPr>
        <w:t>Lifelong Learning Strategy in Slovenia</w:t>
      </w:r>
      <w:r w:rsidRPr="002C30D6">
        <w:rPr>
          <w:rFonts w:cs="TisaSansPro"/>
          <w:color w:val="auto"/>
          <w:sz w:val="24"/>
          <w:szCs w:val="24"/>
          <w:lang w:val="en-GB"/>
        </w:rPr>
        <w:t>.</w:t>
      </w:r>
      <w:proofErr w:type="gramEnd"/>
      <w:r w:rsidRPr="002C30D6">
        <w:rPr>
          <w:rFonts w:cs="TisaSansPro"/>
          <w:color w:val="auto"/>
          <w:sz w:val="24"/>
          <w:szCs w:val="24"/>
          <w:lang w:val="en-GB"/>
        </w:rPr>
        <w:t xml:space="preserve"> Ljubljana:</w:t>
      </w:r>
      <w:r w:rsidRPr="002C30D6">
        <w:rPr>
          <w:color w:val="auto"/>
          <w:sz w:val="24"/>
          <w:szCs w:val="24"/>
          <w:lang w:val="en-GB"/>
        </w:rPr>
        <w:t xml:space="preserve"> </w:t>
      </w:r>
      <w:r w:rsidRPr="002C30D6">
        <w:rPr>
          <w:rFonts w:cs="TisaSansPro"/>
          <w:color w:val="auto"/>
          <w:sz w:val="24"/>
          <w:szCs w:val="24"/>
          <w:lang w:val="en-GB"/>
        </w:rPr>
        <w:t xml:space="preserve">Ministry of Education and Sport of the Republic of Slovenia: Public Institute Educational Research Institute.  </w:t>
      </w:r>
    </w:p>
    <w:p w:rsidR="00F22564" w:rsidRPr="002C30D6" w:rsidRDefault="00F22564" w:rsidP="00F22564">
      <w:pPr>
        <w:spacing w:after="120"/>
        <w:rPr>
          <w:rFonts w:cs="TisaSansPro"/>
          <w:color w:val="auto"/>
          <w:sz w:val="24"/>
          <w:szCs w:val="24"/>
          <w:lang w:val="en-GB"/>
        </w:rPr>
      </w:pPr>
      <w:proofErr w:type="spellStart"/>
      <w:r w:rsidRPr="002C30D6">
        <w:rPr>
          <w:rFonts w:cs="TisaSansPro"/>
          <w:color w:val="auto"/>
          <w:sz w:val="24"/>
          <w:szCs w:val="24"/>
          <w:lang w:val="en-GB"/>
        </w:rPr>
        <w:t>Kolarič</w:t>
      </w:r>
      <w:proofErr w:type="spellEnd"/>
      <w:r w:rsidRPr="002C30D6">
        <w:rPr>
          <w:rFonts w:cs="TisaSansPro"/>
          <w:color w:val="auto"/>
          <w:sz w:val="24"/>
          <w:szCs w:val="24"/>
          <w:lang w:val="en-GB"/>
        </w:rPr>
        <w:t xml:space="preserve">, Z. (1992). </w:t>
      </w:r>
      <w:proofErr w:type="gramStart"/>
      <w:r w:rsidRPr="002C30D6">
        <w:rPr>
          <w:rFonts w:cs="TisaSansPro"/>
          <w:color w:val="auto"/>
          <w:sz w:val="24"/>
          <w:szCs w:val="24"/>
          <w:lang w:val="en-GB"/>
        </w:rPr>
        <w:t>From Socialist to Post-Socialist Social Policy.</w:t>
      </w:r>
      <w:proofErr w:type="gramEnd"/>
      <w:r w:rsidRPr="002C30D6">
        <w:rPr>
          <w:rFonts w:cs="TisaSansPro"/>
          <w:color w:val="auto"/>
          <w:sz w:val="24"/>
          <w:szCs w:val="24"/>
          <w:lang w:val="en-GB"/>
        </w:rPr>
        <w:t xml:space="preserve"> </w:t>
      </w:r>
      <w:proofErr w:type="gramStart"/>
      <w:r w:rsidRPr="002C30D6">
        <w:rPr>
          <w:rFonts w:cs="TisaSansPro"/>
          <w:color w:val="auto"/>
          <w:sz w:val="24"/>
          <w:szCs w:val="24"/>
          <w:lang w:val="en-GB"/>
        </w:rPr>
        <w:t xml:space="preserve">In I. </w:t>
      </w:r>
      <w:proofErr w:type="spellStart"/>
      <w:r w:rsidRPr="002C30D6">
        <w:rPr>
          <w:rFonts w:cs="TisaSansPro"/>
          <w:color w:val="auto"/>
          <w:sz w:val="24"/>
          <w:szCs w:val="24"/>
          <w:lang w:val="en-GB"/>
        </w:rPr>
        <w:t>Svetnik</w:t>
      </w:r>
      <w:proofErr w:type="spellEnd"/>
      <w:r w:rsidRPr="002C30D6">
        <w:rPr>
          <w:rFonts w:cs="TisaSansPro"/>
          <w:color w:val="auto"/>
          <w:sz w:val="24"/>
          <w:szCs w:val="24"/>
          <w:lang w:val="en-GB"/>
        </w:rPr>
        <w:t xml:space="preserve"> (ed.), </w:t>
      </w:r>
      <w:r w:rsidRPr="002C30D6">
        <w:rPr>
          <w:rFonts w:cs="TisaSansPro"/>
          <w:i/>
          <w:color w:val="auto"/>
          <w:sz w:val="24"/>
          <w:szCs w:val="24"/>
          <w:lang w:val="en-GB"/>
        </w:rPr>
        <w:t>Social Policy in Slovenia</w:t>
      </w:r>
      <w:r w:rsidRPr="002C30D6">
        <w:rPr>
          <w:rFonts w:cs="TisaSansPro"/>
          <w:color w:val="auto"/>
          <w:sz w:val="24"/>
          <w:szCs w:val="24"/>
          <w:lang w:val="en-GB"/>
        </w:rPr>
        <w:t xml:space="preserve"> (pp. 15–32).</w:t>
      </w:r>
      <w:proofErr w:type="gramEnd"/>
      <w:r w:rsidRPr="002C30D6">
        <w:rPr>
          <w:rFonts w:cs="TisaSansPro"/>
          <w:color w:val="auto"/>
          <w:sz w:val="24"/>
          <w:szCs w:val="24"/>
          <w:lang w:val="en-GB"/>
        </w:rPr>
        <w:t xml:space="preserve"> Avebury: </w:t>
      </w:r>
      <w:proofErr w:type="spellStart"/>
      <w:r w:rsidRPr="002C30D6">
        <w:rPr>
          <w:rFonts w:cs="TisaSansPro"/>
          <w:color w:val="auto"/>
          <w:sz w:val="24"/>
          <w:szCs w:val="24"/>
          <w:lang w:val="en-GB"/>
        </w:rPr>
        <w:t>Ashgate</w:t>
      </w:r>
      <w:proofErr w:type="spellEnd"/>
      <w:r w:rsidRPr="002C30D6">
        <w:rPr>
          <w:rFonts w:cs="TisaSansPro"/>
          <w:color w:val="auto"/>
          <w:sz w:val="24"/>
          <w:szCs w:val="24"/>
          <w:lang w:val="en-GB"/>
        </w:rPr>
        <w:t xml:space="preserve">. </w:t>
      </w:r>
    </w:p>
    <w:p w:rsidR="00F22564" w:rsidRPr="002C30D6" w:rsidRDefault="00F22564" w:rsidP="00F22564">
      <w:pPr>
        <w:spacing w:after="120"/>
        <w:rPr>
          <w:rFonts w:cs="TisaSansPro"/>
          <w:color w:val="auto"/>
          <w:sz w:val="24"/>
          <w:szCs w:val="24"/>
          <w:lang w:val="en-GB"/>
        </w:rPr>
      </w:pPr>
      <w:proofErr w:type="spellStart"/>
      <w:proofErr w:type="gramStart"/>
      <w:r w:rsidRPr="002C30D6">
        <w:rPr>
          <w:rFonts w:cs="TisaSansPro"/>
          <w:color w:val="auto"/>
          <w:sz w:val="24"/>
          <w:szCs w:val="24"/>
          <w:lang w:val="en-GB"/>
        </w:rPr>
        <w:t>Kolarič</w:t>
      </w:r>
      <w:proofErr w:type="spellEnd"/>
      <w:r w:rsidRPr="002C30D6">
        <w:rPr>
          <w:rFonts w:cs="TisaSansPro"/>
          <w:color w:val="auto"/>
          <w:sz w:val="24"/>
          <w:szCs w:val="24"/>
          <w:lang w:val="en-GB"/>
        </w:rPr>
        <w:t xml:space="preserve">, Z., A. </w:t>
      </w:r>
      <w:proofErr w:type="spellStart"/>
      <w:r w:rsidRPr="002C30D6">
        <w:rPr>
          <w:rFonts w:cs="TisaSansPro"/>
          <w:color w:val="auto"/>
          <w:sz w:val="24"/>
          <w:szCs w:val="24"/>
          <w:lang w:val="en-GB"/>
        </w:rPr>
        <w:t>Kopač</w:t>
      </w:r>
      <w:proofErr w:type="spellEnd"/>
      <w:r w:rsidRPr="002C30D6">
        <w:rPr>
          <w:rFonts w:cs="TisaSansPro"/>
          <w:color w:val="auto"/>
          <w:sz w:val="24"/>
          <w:szCs w:val="24"/>
          <w:lang w:val="en-GB"/>
        </w:rPr>
        <w:t xml:space="preserve">, and T. </w:t>
      </w:r>
      <w:proofErr w:type="spellStart"/>
      <w:r w:rsidRPr="002C30D6">
        <w:rPr>
          <w:rFonts w:cs="TisaSansPro"/>
          <w:color w:val="auto"/>
          <w:sz w:val="24"/>
          <w:szCs w:val="24"/>
          <w:lang w:val="en-GB"/>
        </w:rPr>
        <w:t>Rakar</w:t>
      </w:r>
      <w:proofErr w:type="spellEnd"/>
      <w:r w:rsidRPr="002C30D6">
        <w:rPr>
          <w:rFonts w:cs="TisaSansPro"/>
          <w:color w:val="auto"/>
          <w:sz w:val="24"/>
          <w:szCs w:val="24"/>
          <w:lang w:val="en-GB"/>
        </w:rPr>
        <w:t xml:space="preserve"> (2009).</w:t>
      </w:r>
      <w:proofErr w:type="gramEnd"/>
      <w:r w:rsidRPr="002C30D6">
        <w:rPr>
          <w:rFonts w:cs="TisaSansPro"/>
          <w:color w:val="auto"/>
          <w:sz w:val="24"/>
          <w:szCs w:val="24"/>
          <w:lang w:val="en-GB"/>
        </w:rPr>
        <w:t xml:space="preserve"> The Slovene Welfare System: Gradual Reform instead of Shock Treatment. In K. Schubert, S. </w:t>
      </w:r>
      <w:proofErr w:type="spellStart"/>
      <w:r w:rsidRPr="002C30D6">
        <w:rPr>
          <w:rFonts w:cs="TisaSansPro"/>
          <w:color w:val="auto"/>
          <w:sz w:val="24"/>
          <w:szCs w:val="24"/>
          <w:lang w:val="en-GB"/>
        </w:rPr>
        <w:t>Hegelich</w:t>
      </w:r>
      <w:proofErr w:type="spellEnd"/>
      <w:r w:rsidRPr="002C30D6">
        <w:rPr>
          <w:rFonts w:cs="TisaSansPro"/>
          <w:color w:val="auto"/>
          <w:sz w:val="24"/>
          <w:szCs w:val="24"/>
          <w:lang w:val="en-GB"/>
        </w:rPr>
        <w:t xml:space="preserve"> and U. </w:t>
      </w:r>
      <w:proofErr w:type="spellStart"/>
      <w:r w:rsidRPr="002C30D6">
        <w:rPr>
          <w:rFonts w:cs="TisaSansPro"/>
          <w:color w:val="auto"/>
          <w:sz w:val="24"/>
          <w:szCs w:val="24"/>
          <w:lang w:val="en-GB"/>
        </w:rPr>
        <w:t>Bazant</w:t>
      </w:r>
      <w:proofErr w:type="spellEnd"/>
      <w:r w:rsidRPr="002C30D6">
        <w:rPr>
          <w:rFonts w:cs="TisaSansPro"/>
          <w:color w:val="auto"/>
          <w:sz w:val="24"/>
          <w:szCs w:val="24"/>
          <w:lang w:val="en-GB"/>
        </w:rPr>
        <w:t xml:space="preserve"> (eds.) </w:t>
      </w:r>
      <w:proofErr w:type="gramStart"/>
      <w:r w:rsidRPr="002C30D6">
        <w:rPr>
          <w:rFonts w:cs="TisaSansPro"/>
          <w:i/>
          <w:color w:val="auto"/>
          <w:sz w:val="24"/>
          <w:szCs w:val="24"/>
          <w:lang w:val="en-GB"/>
        </w:rPr>
        <w:t>The</w:t>
      </w:r>
      <w:proofErr w:type="gramEnd"/>
      <w:r w:rsidRPr="002C30D6">
        <w:rPr>
          <w:rFonts w:cs="TisaSansPro"/>
          <w:i/>
          <w:color w:val="auto"/>
          <w:sz w:val="24"/>
          <w:szCs w:val="24"/>
          <w:lang w:val="en-GB"/>
        </w:rPr>
        <w:t xml:space="preserve"> Handbook of European Welfare Systems </w:t>
      </w:r>
      <w:r w:rsidRPr="002C30D6">
        <w:rPr>
          <w:rFonts w:cs="TisaSansPro"/>
          <w:color w:val="auto"/>
          <w:sz w:val="24"/>
          <w:szCs w:val="24"/>
          <w:lang w:val="en-GB"/>
        </w:rPr>
        <w:t>(pp 444–461). London and New York: Routledge.</w:t>
      </w:r>
    </w:p>
    <w:p w:rsidR="00F22564" w:rsidRPr="002C30D6" w:rsidRDefault="00F22564" w:rsidP="00F22564">
      <w:pPr>
        <w:spacing w:after="120"/>
        <w:rPr>
          <w:rFonts w:cs="TisaSansPro"/>
          <w:color w:val="auto"/>
          <w:sz w:val="24"/>
          <w:szCs w:val="24"/>
          <w:lang w:val="en-GB"/>
        </w:rPr>
      </w:pPr>
      <w:proofErr w:type="spellStart"/>
      <w:r w:rsidRPr="002C30D6">
        <w:rPr>
          <w:rFonts w:cs="TisaSansPro"/>
          <w:color w:val="auto"/>
          <w:sz w:val="24"/>
          <w:szCs w:val="24"/>
          <w:lang w:val="en-GB"/>
        </w:rPr>
        <w:t>Kopač</w:t>
      </w:r>
      <w:proofErr w:type="spellEnd"/>
      <w:r w:rsidRPr="002C30D6">
        <w:rPr>
          <w:rFonts w:cs="TisaSansPro"/>
          <w:color w:val="auto"/>
          <w:sz w:val="24"/>
          <w:szCs w:val="24"/>
          <w:lang w:val="en-GB"/>
        </w:rPr>
        <w:t xml:space="preserve">, A. (2005). </w:t>
      </w:r>
      <w:proofErr w:type="gramStart"/>
      <w:r w:rsidRPr="002C30D6">
        <w:rPr>
          <w:rFonts w:cs="TisaSansPro"/>
          <w:color w:val="auto"/>
          <w:sz w:val="24"/>
          <w:szCs w:val="24"/>
          <w:lang w:val="en-GB"/>
        </w:rPr>
        <w:t>Od</w:t>
      </w:r>
      <w:proofErr w:type="gramEnd"/>
      <w:r w:rsidRPr="002C30D6">
        <w:rPr>
          <w:rFonts w:cs="TisaSansPro"/>
          <w:color w:val="auto"/>
          <w:sz w:val="24"/>
          <w:szCs w:val="24"/>
          <w:lang w:val="en-GB"/>
        </w:rPr>
        <w:t xml:space="preserve"> </w:t>
      </w:r>
      <w:proofErr w:type="spellStart"/>
      <w:r w:rsidRPr="002C30D6">
        <w:rPr>
          <w:rFonts w:cs="TisaSansPro"/>
          <w:color w:val="auto"/>
          <w:sz w:val="24"/>
          <w:szCs w:val="24"/>
          <w:lang w:val="en-GB"/>
        </w:rPr>
        <w:t>brezpogojne</w:t>
      </w:r>
      <w:proofErr w:type="spellEnd"/>
      <w:r w:rsidRPr="002C30D6">
        <w:rPr>
          <w:rFonts w:cs="TisaSansPro"/>
          <w:color w:val="auto"/>
          <w:sz w:val="24"/>
          <w:szCs w:val="24"/>
          <w:lang w:val="en-GB"/>
        </w:rPr>
        <w:t xml:space="preserve"> k </w:t>
      </w:r>
      <w:proofErr w:type="spellStart"/>
      <w:r w:rsidRPr="002C30D6">
        <w:rPr>
          <w:rFonts w:cs="TisaSansPro"/>
          <w:color w:val="auto"/>
          <w:sz w:val="24"/>
          <w:szCs w:val="24"/>
          <w:lang w:val="en-GB"/>
        </w:rPr>
        <w:t>pogojevani</w:t>
      </w:r>
      <w:proofErr w:type="spellEnd"/>
      <w:r w:rsidRPr="002C30D6">
        <w:rPr>
          <w:rFonts w:cs="TisaSansPro"/>
          <w:color w:val="auto"/>
          <w:sz w:val="24"/>
          <w:szCs w:val="24"/>
          <w:lang w:val="en-GB"/>
        </w:rPr>
        <w:t xml:space="preserve"> </w:t>
      </w:r>
      <w:proofErr w:type="spellStart"/>
      <w:r w:rsidRPr="002C30D6">
        <w:rPr>
          <w:rFonts w:cs="TisaSansPro"/>
          <w:color w:val="auto"/>
          <w:sz w:val="24"/>
          <w:szCs w:val="24"/>
          <w:lang w:val="en-GB"/>
        </w:rPr>
        <w:t>državi</w:t>
      </w:r>
      <w:proofErr w:type="spellEnd"/>
      <w:r w:rsidRPr="002C30D6">
        <w:rPr>
          <w:rFonts w:cs="TisaSansPro"/>
          <w:color w:val="auto"/>
          <w:sz w:val="24"/>
          <w:szCs w:val="24"/>
          <w:lang w:val="en-GB"/>
        </w:rPr>
        <w:t xml:space="preserve"> </w:t>
      </w:r>
      <w:proofErr w:type="spellStart"/>
      <w:r w:rsidRPr="002C30D6">
        <w:rPr>
          <w:rFonts w:cs="TisaSansPro"/>
          <w:color w:val="auto"/>
          <w:sz w:val="24"/>
          <w:szCs w:val="24"/>
          <w:lang w:val="en-GB"/>
        </w:rPr>
        <w:t>blaginje</w:t>
      </w:r>
      <w:proofErr w:type="spellEnd"/>
      <w:r w:rsidRPr="002C30D6">
        <w:rPr>
          <w:rFonts w:cs="TisaSansPro"/>
          <w:color w:val="auto"/>
          <w:sz w:val="24"/>
          <w:szCs w:val="24"/>
          <w:lang w:val="en-GB"/>
        </w:rPr>
        <w:t>—</w:t>
      </w:r>
      <w:proofErr w:type="spellStart"/>
      <w:r w:rsidRPr="002C30D6">
        <w:rPr>
          <w:rFonts w:cs="TisaSansPro"/>
          <w:color w:val="auto"/>
          <w:sz w:val="24"/>
          <w:szCs w:val="24"/>
          <w:lang w:val="en-GB"/>
        </w:rPr>
        <w:t>spremembe</w:t>
      </w:r>
      <w:proofErr w:type="spellEnd"/>
      <w:r w:rsidRPr="002C30D6">
        <w:rPr>
          <w:rFonts w:cs="TisaSansPro"/>
          <w:color w:val="auto"/>
          <w:sz w:val="24"/>
          <w:szCs w:val="24"/>
          <w:lang w:val="en-GB"/>
        </w:rPr>
        <w:t xml:space="preserve"> </w:t>
      </w:r>
      <w:proofErr w:type="spellStart"/>
      <w:r w:rsidRPr="002C30D6">
        <w:rPr>
          <w:rFonts w:cs="TisaSansPro"/>
          <w:color w:val="auto"/>
          <w:sz w:val="24"/>
          <w:szCs w:val="24"/>
          <w:lang w:val="en-GB"/>
        </w:rPr>
        <w:t>znotraj</w:t>
      </w:r>
      <w:proofErr w:type="spellEnd"/>
      <w:r w:rsidRPr="002C30D6">
        <w:rPr>
          <w:rFonts w:cs="TisaSansPro"/>
          <w:color w:val="auto"/>
          <w:sz w:val="24"/>
          <w:szCs w:val="24"/>
          <w:lang w:val="en-GB"/>
        </w:rPr>
        <w:t xml:space="preserve"> </w:t>
      </w:r>
      <w:proofErr w:type="spellStart"/>
      <w:r w:rsidRPr="002C30D6">
        <w:rPr>
          <w:rFonts w:cs="TisaSansPro"/>
          <w:color w:val="auto"/>
          <w:sz w:val="24"/>
          <w:szCs w:val="24"/>
          <w:lang w:val="en-GB"/>
        </w:rPr>
        <w:t>koncepta</w:t>
      </w:r>
      <w:proofErr w:type="spellEnd"/>
      <w:r w:rsidRPr="002C30D6">
        <w:rPr>
          <w:rFonts w:cs="TisaSansPro"/>
          <w:color w:val="auto"/>
          <w:sz w:val="24"/>
          <w:szCs w:val="24"/>
          <w:lang w:val="en-GB"/>
        </w:rPr>
        <w:t xml:space="preserve"> </w:t>
      </w:r>
      <w:proofErr w:type="spellStart"/>
      <w:r w:rsidRPr="002C30D6">
        <w:rPr>
          <w:rFonts w:cs="TisaSansPro"/>
          <w:color w:val="auto"/>
          <w:sz w:val="24"/>
          <w:szCs w:val="24"/>
          <w:lang w:val="en-GB"/>
        </w:rPr>
        <w:t>državljanstva</w:t>
      </w:r>
      <w:proofErr w:type="spellEnd"/>
      <w:r w:rsidRPr="002C30D6">
        <w:rPr>
          <w:rFonts w:cs="TisaSansPro"/>
          <w:color w:val="auto"/>
          <w:sz w:val="24"/>
          <w:szCs w:val="24"/>
          <w:lang w:val="en-GB"/>
        </w:rPr>
        <w:t xml:space="preserve">. [From Unconditional to Conditioned Welfare State—Changes in the Citizenship Concept], </w:t>
      </w:r>
      <w:proofErr w:type="spellStart"/>
      <w:r w:rsidRPr="002C30D6">
        <w:rPr>
          <w:rFonts w:cs="TisaSansPro"/>
          <w:i/>
          <w:color w:val="auto"/>
          <w:sz w:val="24"/>
          <w:szCs w:val="24"/>
          <w:lang w:val="en-GB"/>
        </w:rPr>
        <w:t>Družboslovne</w:t>
      </w:r>
      <w:proofErr w:type="spellEnd"/>
      <w:r w:rsidRPr="002C30D6">
        <w:rPr>
          <w:rFonts w:cs="TisaSansPro"/>
          <w:i/>
          <w:color w:val="auto"/>
          <w:sz w:val="24"/>
          <w:szCs w:val="24"/>
          <w:lang w:val="en-GB"/>
        </w:rPr>
        <w:t xml:space="preserve"> </w:t>
      </w:r>
      <w:proofErr w:type="spellStart"/>
      <w:r w:rsidRPr="002C30D6">
        <w:rPr>
          <w:rFonts w:cs="TisaSansPro"/>
          <w:i/>
          <w:color w:val="auto"/>
          <w:sz w:val="24"/>
          <w:szCs w:val="24"/>
          <w:lang w:val="en-GB"/>
        </w:rPr>
        <w:t>razprave</w:t>
      </w:r>
      <w:proofErr w:type="spellEnd"/>
      <w:r w:rsidRPr="002C30D6">
        <w:rPr>
          <w:rFonts w:cs="TisaSansPro"/>
          <w:color w:val="auto"/>
          <w:sz w:val="24"/>
          <w:szCs w:val="24"/>
          <w:lang w:val="en-GB"/>
        </w:rPr>
        <w:t xml:space="preserve"> 21 (49/50): 51–64.</w:t>
      </w:r>
    </w:p>
    <w:p w:rsidR="00F22564" w:rsidRPr="00A60CE4" w:rsidRDefault="00F22564" w:rsidP="00F22564">
      <w:pPr>
        <w:shd w:val="clear" w:color="auto" w:fill="FFFFFF" w:themeFill="background1"/>
        <w:spacing w:after="120"/>
        <w:jc w:val="both"/>
        <w:rPr>
          <w:rFonts w:cs="Times New Roman"/>
          <w:color w:val="auto"/>
          <w:sz w:val="24"/>
          <w:szCs w:val="24"/>
          <w:lang w:val="it-IT"/>
        </w:rPr>
      </w:pPr>
      <w:r w:rsidRPr="00A60CE4">
        <w:rPr>
          <w:rFonts w:eastAsia="Times New Roman" w:cs="Times New Roman"/>
          <w:color w:val="auto"/>
          <w:sz w:val="24"/>
          <w:szCs w:val="24"/>
          <w:lang w:val="it-IT" w:eastAsia="sl-SI"/>
        </w:rPr>
        <w:t xml:space="preserve">Krajnc, A. (2016). </w:t>
      </w:r>
      <w:r w:rsidRPr="00A60CE4">
        <w:rPr>
          <w:rFonts w:eastAsia="Times New Roman" w:cs="Times New Roman"/>
          <w:i/>
          <w:color w:val="auto"/>
          <w:sz w:val="24"/>
          <w:szCs w:val="24"/>
          <w:lang w:val="it-IT" w:eastAsia="sl-SI"/>
        </w:rPr>
        <w:t>Starejši se učimo. Izobraževanje starejših v teoriji in praksi.</w:t>
      </w:r>
      <w:r w:rsidRPr="00A60CE4">
        <w:rPr>
          <w:rFonts w:eastAsia="Times New Roman" w:cs="Times New Roman"/>
          <w:color w:val="auto"/>
          <w:sz w:val="24"/>
          <w:szCs w:val="24"/>
          <w:lang w:val="it-IT" w:eastAsia="sl-SI"/>
        </w:rPr>
        <w:t xml:space="preserve"> Ljubljana: Slovenska univerza za tretje življenjsko obdobje, združevanje za izobraževanje in družbeno vključenost.</w:t>
      </w:r>
      <w:r w:rsidRPr="00A60CE4">
        <w:rPr>
          <w:rFonts w:cs="Times New Roman"/>
          <w:color w:val="auto"/>
          <w:sz w:val="24"/>
          <w:szCs w:val="24"/>
          <w:lang w:val="it-IT"/>
        </w:rPr>
        <w:t xml:space="preserve"> </w:t>
      </w:r>
    </w:p>
    <w:p w:rsidR="00F22564" w:rsidRPr="002C30D6" w:rsidRDefault="00F22564" w:rsidP="00F22564">
      <w:pPr>
        <w:spacing w:after="120"/>
        <w:rPr>
          <w:rFonts w:eastAsia="Times New Roman" w:cs="Times New Roman"/>
          <w:color w:val="auto"/>
          <w:sz w:val="24"/>
          <w:szCs w:val="24"/>
          <w:lang w:val="en-GB" w:eastAsia="sl-SI"/>
        </w:rPr>
      </w:pPr>
      <w:r w:rsidRPr="00BE38C3">
        <w:rPr>
          <w:rFonts w:eastAsia="Times New Roman" w:cs="Times New Roman"/>
          <w:color w:val="auto"/>
          <w:sz w:val="24"/>
          <w:szCs w:val="24"/>
          <w:lang w:val="it-IT" w:eastAsia="sl-SI"/>
        </w:rPr>
        <w:t xml:space="preserve">Kump, S. (2017). Konec varčevanja? Javno financiranje izobraževanja odraslih. </w:t>
      </w:r>
      <w:proofErr w:type="spellStart"/>
      <w:r w:rsidRPr="002C30D6">
        <w:rPr>
          <w:rFonts w:eastAsia="Times New Roman" w:cs="Times New Roman"/>
          <w:i/>
          <w:color w:val="auto"/>
          <w:sz w:val="24"/>
          <w:szCs w:val="24"/>
          <w:lang w:val="en-GB" w:eastAsia="sl-SI"/>
        </w:rPr>
        <w:t>Andragoška</w:t>
      </w:r>
      <w:proofErr w:type="spellEnd"/>
      <w:r w:rsidRPr="002C30D6">
        <w:rPr>
          <w:rFonts w:eastAsia="Times New Roman" w:cs="Times New Roman"/>
          <w:i/>
          <w:color w:val="auto"/>
          <w:sz w:val="24"/>
          <w:szCs w:val="24"/>
          <w:lang w:val="en-GB" w:eastAsia="sl-SI"/>
        </w:rPr>
        <w:t xml:space="preserve"> </w:t>
      </w:r>
      <w:proofErr w:type="spellStart"/>
      <w:r w:rsidRPr="002C30D6">
        <w:rPr>
          <w:rFonts w:eastAsia="Times New Roman" w:cs="Times New Roman"/>
          <w:i/>
          <w:color w:val="auto"/>
          <w:sz w:val="24"/>
          <w:szCs w:val="24"/>
          <w:lang w:val="en-GB" w:eastAsia="sl-SI"/>
        </w:rPr>
        <w:t>spoznanja</w:t>
      </w:r>
      <w:proofErr w:type="spellEnd"/>
      <w:r w:rsidRPr="002C30D6">
        <w:rPr>
          <w:rFonts w:eastAsia="Times New Roman" w:cs="Times New Roman"/>
          <w:color w:val="auto"/>
          <w:sz w:val="24"/>
          <w:szCs w:val="24"/>
          <w:lang w:val="en-GB" w:eastAsia="sl-SI"/>
        </w:rPr>
        <w:t xml:space="preserve">, 23(1): 3–6. </w:t>
      </w:r>
    </w:p>
    <w:p w:rsidR="007E5932" w:rsidRPr="002C30D6" w:rsidRDefault="007E5932" w:rsidP="007E5932">
      <w:pPr>
        <w:spacing w:after="120"/>
        <w:rPr>
          <w:rFonts w:eastAsia="Times New Roman" w:cs="Times New Roman"/>
          <w:color w:val="auto"/>
          <w:sz w:val="24"/>
          <w:szCs w:val="24"/>
          <w:lang w:val="en-GB" w:eastAsia="sl-SI"/>
        </w:rPr>
      </w:pPr>
      <w:proofErr w:type="gramStart"/>
      <w:r w:rsidRPr="002C30D6">
        <w:rPr>
          <w:rFonts w:eastAsia="Times New Roman" w:cs="Times New Roman"/>
          <w:color w:val="auto"/>
          <w:sz w:val="24"/>
          <w:szCs w:val="24"/>
          <w:lang w:val="en-GB" w:eastAsia="sl-SI"/>
        </w:rPr>
        <w:t>McGivney, V. (1999).</w:t>
      </w:r>
      <w:proofErr w:type="gramEnd"/>
      <w:r w:rsidRPr="002C30D6">
        <w:rPr>
          <w:rFonts w:eastAsia="Times New Roman" w:cs="Times New Roman"/>
          <w:color w:val="auto"/>
          <w:sz w:val="24"/>
          <w:szCs w:val="24"/>
          <w:lang w:val="en-GB" w:eastAsia="sl-SI"/>
        </w:rPr>
        <w:t xml:space="preserve"> </w:t>
      </w:r>
      <w:proofErr w:type="gramStart"/>
      <w:r w:rsidRPr="002C30D6">
        <w:rPr>
          <w:rFonts w:eastAsia="Times New Roman" w:cs="Times New Roman"/>
          <w:i/>
          <w:color w:val="auto"/>
          <w:sz w:val="24"/>
          <w:szCs w:val="24"/>
          <w:lang w:val="en-GB" w:eastAsia="sl-SI"/>
        </w:rPr>
        <w:t>Excluded men: Men who are missing from education and training.</w:t>
      </w:r>
      <w:proofErr w:type="gramEnd"/>
      <w:r w:rsidRPr="002C30D6">
        <w:rPr>
          <w:rFonts w:eastAsia="Times New Roman" w:cs="Times New Roman"/>
          <w:color w:val="auto"/>
          <w:sz w:val="24"/>
          <w:szCs w:val="24"/>
          <w:lang w:val="en-GB" w:eastAsia="sl-SI"/>
        </w:rPr>
        <w:t xml:space="preserve"> Leicester, England: National Institute of Adult Continuing Education.</w:t>
      </w:r>
    </w:p>
    <w:p w:rsidR="007E5932" w:rsidRPr="002C30D6" w:rsidRDefault="007E5932" w:rsidP="007E5932">
      <w:pPr>
        <w:spacing w:after="120"/>
        <w:rPr>
          <w:rFonts w:eastAsia="Times New Roman" w:cs="Times New Roman"/>
          <w:color w:val="auto"/>
          <w:sz w:val="24"/>
          <w:szCs w:val="24"/>
          <w:lang w:val="en-GB" w:eastAsia="sl-SI"/>
        </w:rPr>
      </w:pPr>
      <w:proofErr w:type="gramStart"/>
      <w:r w:rsidRPr="002C30D6">
        <w:rPr>
          <w:rFonts w:eastAsia="Times New Roman" w:cs="Times New Roman"/>
          <w:color w:val="auto"/>
          <w:sz w:val="24"/>
          <w:szCs w:val="24"/>
          <w:lang w:val="en-GB" w:eastAsia="sl-SI"/>
        </w:rPr>
        <w:t>McGivney, V. (2004).</w:t>
      </w:r>
      <w:proofErr w:type="gramEnd"/>
      <w:r w:rsidRPr="002C30D6">
        <w:rPr>
          <w:rFonts w:eastAsia="Times New Roman" w:cs="Times New Roman"/>
          <w:color w:val="auto"/>
          <w:sz w:val="24"/>
          <w:szCs w:val="24"/>
          <w:lang w:val="en-GB" w:eastAsia="sl-SI"/>
        </w:rPr>
        <w:t xml:space="preserve"> </w:t>
      </w:r>
      <w:r w:rsidRPr="002C30D6">
        <w:rPr>
          <w:rFonts w:eastAsia="Times New Roman" w:cs="Times New Roman"/>
          <w:i/>
          <w:color w:val="auto"/>
          <w:sz w:val="24"/>
          <w:szCs w:val="24"/>
          <w:lang w:val="en-GB" w:eastAsia="sl-SI"/>
        </w:rPr>
        <w:t xml:space="preserve">Men earn, women learn: Bridging the gender </w:t>
      </w:r>
      <w:proofErr w:type="spellStart"/>
      <w:r w:rsidRPr="002C30D6">
        <w:rPr>
          <w:rFonts w:eastAsia="Times New Roman" w:cs="Times New Roman"/>
          <w:i/>
          <w:color w:val="auto"/>
          <w:sz w:val="24"/>
          <w:szCs w:val="24"/>
          <w:lang w:val="en-GB" w:eastAsia="sl-SI"/>
        </w:rPr>
        <w:t>devide</w:t>
      </w:r>
      <w:proofErr w:type="spellEnd"/>
      <w:r w:rsidRPr="002C30D6">
        <w:rPr>
          <w:rFonts w:eastAsia="Times New Roman" w:cs="Times New Roman"/>
          <w:i/>
          <w:color w:val="auto"/>
          <w:sz w:val="24"/>
          <w:szCs w:val="24"/>
          <w:lang w:val="en-GB" w:eastAsia="sl-SI"/>
        </w:rPr>
        <w:t xml:space="preserve"> in education and training</w:t>
      </w:r>
      <w:r w:rsidRPr="002C30D6">
        <w:rPr>
          <w:rFonts w:eastAsia="Times New Roman" w:cs="Times New Roman"/>
          <w:color w:val="auto"/>
          <w:sz w:val="24"/>
          <w:szCs w:val="24"/>
          <w:lang w:val="en-GB" w:eastAsia="sl-SI"/>
        </w:rPr>
        <w:t>. Leicester, England: National Institute of Adult Continuing Education.</w:t>
      </w:r>
    </w:p>
    <w:p w:rsidR="00052423" w:rsidRPr="002C30D6" w:rsidRDefault="00052423" w:rsidP="00052423">
      <w:pPr>
        <w:spacing w:after="120"/>
        <w:rPr>
          <w:rFonts w:eastAsia="Times New Roman" w:cs="Times New Roman"/>
          <w:color w:val="auto"/>
          <w:sz w:val="24"/>
          <w:szCs w:val="24"/>
          <w:lang w:val="en-GB" w:eastAsia="sl-SI"/>
        </w:rPr>
      </w:pPr>
      <w:proofErr w:type="gramStart"/>
      <w:r w:rsidRPr="002C30D6">
        <w:rPr>
          <w:rFonts w:eastAsia="Times New Roman" w:cs="Times New Roman"/>
          <w:color w:val="auto"/>
          <w:sz w:val="24"/>
          <w:szCs w:val="24"/>
          <w:lang w:val="en-GB" w:eastAsia="sl-SI"/>
        </w:rPr>
        <w:t xml:space="preserve">Merriam, S. B., and Y. </w:t>
      </w:r>
      <w:proofErr w:type="spellStart"/>
      <w:r w:rsidRPr="002C30D6">
        <w:rPr>
          <w:rFonts w:eastAsia="Times New Roman" w:cs="Times New Roman"/>
          <w:color w:val="auto"/>
          <w:sz w:val="24"/>
          <w:szCs w:val="24"/>
          <w:lang w:val="en-GB" w:eastAsia="sl-SI"/>
        </w:rPr>
        <w:t>Kee</w:t>
      </w:r>
      <w:proofErr w:type="spellEnd"/>
      <w:r w:rsidRPr="002C30D6">
        <w:rPr>
          <w:rFonts w:eastAsia="Times New Roman" w:cs="Times New Roman"/>
          <w:color w:val="auto"/>
          <w:sz w:val="24"/>
          <w:szCs w:val="24"/>
          <w:lang w:val="en-GB" w:eastAsia="sl-SI"/>
        </w:rPr>
        <w:t xml:space="preserve"> (2014).</w:t>
      </w:r>
      <w:proofErr w:type="gramEnd"/>
      <w:r w:rsidRPr="002C30D6">
        <w:rPr>
          <w:rFonts w:eastAsia="Times New Roman" w:cs="Times New Roman"/>
          <w:color w:val="auto"/>
          <w:sz w:val="24"/>
          <w:szCs w:val="24"/>
          <w:lang w:val="en-GB" w:eastAsia="sl-SI"/>
        </w:rPr>
        <w:t xml:space="preserve"> </w:t>
      </w:r>
      <w:proofErr w:type="gramStart"/>
      <w:r w:rsidRPr="002C30D6">
        <w:rPr>
          <w:rFonts w:eastAsia="Times New Roman" w:cs="Times New Roman"/>
          <w:color w:val="auto"/>
          <w:sz w:val="24"/>
          <w:szCs w:val="24"/>
          <w:lang w:val="en-GB" w:eastAsia="sl-SI"/>
        </w:rPr>
        <w:t>Promoting community wellbeing: The case of lifelong learning for older adults.</w:t>
      </w:r>
      <w:proofErr w:type="gramEnd"/>
      <w:r w:rsidRPr="002C30D6">
        <w:rPr>
          <w:rFonts w:eastAsia="Times New Roman" w:cs="Times New Roman"/>
          <w:color w:val="auto"/>
          <w:sz w:val="24"/>
          <w:szCs w:val="24"/>
          <w:lang w:val="en-GB" w:eastAsia="sl-SI"/>
        </w:rPr>
        <w:t xml:space="preserve"> </w:t>
      </w:r>
      <w:r w:rsidRPr="002C30D6">
        <w:rPr>
          <w:rFonts w:eastAsia="Times New Roman" w:cs="Times New Roman"/>
          <w:i/>
          <w:color w:val="auto"/>
          <w:sz w:val="24"/>
          <w:szCs w:val="24"/>
          <w:lang w:val="en-GB" w:eastAsia="sl-SI"/>
        </w:rPr>
        <w:t>Adult Education Quarterly</w:t>
      </w:r>
      <w:r w:rsidRPr="002C30D6">
        <w:rPr>
          <w:rFonts w:eastAsia="Times New Roman" w:cs="Times New Roman"/>
          <w:color w:val="auto"/>
          <w:sz w:val="24"/>
          <w:szCs w:val="24"/>
          <w:lang w:val="en-GB" w:eastAsia="sl-SI"/>
        </w:rPr>
        <w:t>, 64, 128–144.</w:t>
      </w:r>
    </w:p>
    <w:p w:rsidR="00F22564" w:rsidRPr="002C30D6" w:rsidRDefault="00F22564" w:rsidP="00F22564">
      <w:pPr>
        <w:spacing w:after="120"/>
        <w:rPr>
          <w:rFonts w:eastAsia="Times New Roman" w:cs="Arial"/>
          <w:color w:val="auto"/>
          <w:sz w:val="24"/>
          <w:szCs w:val="24"/>
          <w:lang w:val="en-GB" w:eastAsia="sl-SI"/>
        </w:rPr>
      </w:pPr>
      <w:proofErr w:type="spellStart"/>
      <w:proofErr w:type="gramStart"/>
      <w:r w:rsidRPr="002C30D6">
        <w:rPr>
          <w:rFonts w:eastAsia="Times New Roman" w:cs="Times New Roman"/>
          <w:color w:val="auto"/>
          <w:sz w:val="24"/>
          <w:szCs w:val="24"/>
          <w:lang w:val="en-GB" w:eastAsia="sl-SI"/>
        </w:rPr>
        <w:t>Mikulec</w:t>
      </w:r>
      <w:proofErr w:type="spellEnd"/>
      <w:r w:rsidRPr="002C30D6">
        <w:rPr>
          <w:rFonts w:eastAsia="Times New Roman" w:cs="Times New Roman"/>
          <w:color w:val="auto"/>
          <w:sz w:val="24"/>
          <w:szCs w:val="24"/>
          <w:lang w:val="en-GB" w:eastAsia="sl-SI"/>
        </w:rPr>
        <w:t xml:space="preserve">, B., and S. </w:t>
      </w:r>
      <w:proofErr w:type="spellStart"/>
      <w:r w:rsidRPr="002C30D6">
        <w:rPr>
          <w:rFonts w:eastAsia="Times New Roman" w:cs="Times New Roman"/>
          <w:color w:val="auto"/>
          <w:sz w:val="24"/>
          <w:szCs w:val="24"/>
          <w:lang w:val="en-GB" w:eastAsia="sl-SI"/>
        </w:rPr>
        <w:t>Jelenc</w:t>
      </w:r>
      <w:proofErr w:type="spellEnd"/>
      <w:r w:rsidRPr="002C30D6">
        <w:rPr>
          <w:rFonts w:eastAsia="Times New Roman" w:cs="Times New Roman"/>
          <w:color w:val="auto"/>
          <w:sz w:val="24"/>
          <w:szCs w:val="24"/>
          <w:lang w:val="en-GB" w:eastAsia="sl-SI"/>
        </w:rPr>
        <w:t xml:space="preserve"> </w:t>
      </w:r>
      <w:proofErr w:type="spellStart"/>
      <w:r w:rsidRPr="002C30D6">
        <w:rPr>
          <w:rFonts w:eastAsia="Times New Roman" w:cs="Times New Roman"/>
          <w:color w:val="auto"/>
          <w:sz w:val="24"/>
          <w:szCs w:val="24"/>
          <w:lang w:val="en-GB" w:eastAsia="sl-SI"/>
        </w:rPr>
        <w:t>Krašovec</w:t>
      </w:r>
      <w:proofErr w:type="spellEnd"/>
      <w:r w:rsidRPr="002C30D6">
        <w:rPr>
          <w:rFonts w:eastAsia="Times New Roman" w:cs="Times New Roman"/>
          <w:color w:val="auto"/>
          <w:sz w:val="24"/>
          <w:szCs w:val="24"/>
          <w:lang w:val="en-GB" w:eastAsia="sl-SI"/>
        </w:rPr>
        <w:t xml:space="preserve"> (2016).</w:t>
      </w:r>
      <w:proofErr w:type="gramEnd"/>
      <w:r w:rsidRPr="002C30D6">
        <w:rPr>
          <w:rFonts w:eastAsia="Times New Roman" w:cs="Times New Roman"/>
          <w:color w:val="auto"/>
          <w:sz w:val="24"/>
          <w:szCs w:val="24"/>
          <w:lang w:val="en-GB" w:eastAsia="sl-SI"/>
        </w:rPr>
        <w:t xml:space="preserve"> </w:t>
      </w:r>
      <w:proofErr w:type="spellStart"/>
      <w:proofErr w:type="gramStart"/>
      <w:r w:rsidRPr="002C30D6">
        <w:rPr>
          <w:rFonts w:eastAsia="Times New Roman" w:cs="Times New Roman"/>
          <w:color w:val="auto"/>
          <w:sz w:val="24"/>
          <w:szCs w:val="24"/>
          <w:lang w:val="en-GB" w:eastAsia="sl-SI"/>
        </w:rPr>
        <w:t>Marketising</w:t>
      </w:r>
      <w:proofErr w:type="spellEnd"/>
      <w:r w:rsidRPr="002C30D6">
        <w:rPr>
          <w:rFonts w:eastAsia="Times New Roman" w:cs="Times New Roman"/>
          <w:color w:val="auto"/>
          <w:sz w:val="24"/>
          <w:szCs w:val="24"/>
          <w:lang w:val="en-GB" w:eastAsia="sl-SI"/>
        </w:rPr>
        <w:t xml:space="preserve"> Slovene adult education</w:t>
      </w:r>
      <w:r w:rsidRPr="002C30D6">
        <w:rPr>
          <w:rFonts w:eastAsia="Times New Roman" w:cs="Arial"/>
          <w:color w:val="auto"/>
          <w:sz w:val="24"/>
          <w:szCs w:val="24"/>
          <w:lang w:val="en-GB" w:eastAsia="sl-SI"/>
        </w:rPr>
        <w:t xml:space="preserve"> policies and practices using mechanisms of the Europeanisation of education.</w:t>
      </w:r>
      <w:proofErr w:type="gramEnd"/>
      <w:r w:rsidRPr="002C30D6">
        <w:rPr>
          <w:rFonts w:eastAsia="Times New Roman" w:cs="Arial"/>
          <w:color w:val="auto"/>
          <w:sz w:val="24"/>
          <w:szCs w:val="24"/>
          <w:lang w:val="en-GB" w:eastAsia="sl-SI"/>
        </w:rPr>
        <w:t xml:space="preserve"> </w:t>
      </w:r>
      <w:r w:rsidRPr="002C30D6">
        <w:rPr>
          <w:rFonts w:eastAsia="Times New Roman" w:cs="Arial"/>
          <w:i/>
          <w:color w:val="auto"/>
          <w:sz w:val="24"/>
          <w:szCs w:val="24"/>
          <w:lang w:val="en-GB" w:eastAsia="sl-SI"/>
        </w:rPr>
        <w:t>European Journal for Research on the Education and Learning of Adults</w:t>
      </w:r>
      <w:r w:rsidRPr="002C30D6">
        <w:rPr>
          <w:rFonts w:eastAsia="Times New Roman" w:cs="Arial"/>
          <w:color w:val="auto"/>
          <w:sz w:val="24"/>
          <w:szCs w:val="24"/>
          <w:lang w:val="en-GB" w:eastAsia="sl-SI"/>
        </w:rPr>
        <w:t>, 7(2), 151–170.</w:t>
      </w:r>
    </w:p>
    <w:p w:rsidR="00F22564" w:rsidRPr="002C30D6" w:rsidRDefault="00F22564" w:rsidP="00F22564">
      <w:pPr>
        <w:spacing w:after="120"/>
        <w:rPr>
          <w:rFonts w:eastAsia="Times New Roman" w:cs="Arial"/>
          <w:color w:val="auto"/>
          <w:sz w:val="24"/>
          <w:szCs w:val="24"/>
          <w:lang w:val="en-GB" w:eastAsia="sl-SI"/>
        </w:rPr>
      </w:pPr>
      <w:proofErr w:type="gramStart"/>
      <w:r w:rsidRPr="002C30D6">
        <w:rPr>
          <w:rFonts w:eastAsia="Times New Roman" w:cs="Arial"/>
          <w:color w:val="auto"/>
          <w:sz w:val="24"/>
          <w:szCs w:val="24"/>
          <w:lang w:val="en-GB" w:eastAsia="sl-SI"/>
        </w:rPr>
        <w:t>Ministry of Health (2007).</w:t>
      </w:r>
      <w:proofErr w:type="gramEnd"/>
      <w:r w:rsidRPr="002C30D6">
        <w:rPr>
          <w:rFonts w:eastAsia="Times New Roman" w:cs="Arial"/>
          <w:color w:val="auto"/>
          <w:sz w:val="24"/>
          <w:szCs w:val="24"/>
          <w:lang w:val="en-GB" w:eastAsia="sl-SI"/>
        </w:rPr>
        <w:t xml:space="preserve"> National Health Enhancing Physical Activity </w:t>
      </w:r>
      <w:proofErr w:type="gramStart"/>
      <w:r w:rsidRPr="002C30D6">
        <w:rPr>
          <w:rFonts w:eastAsia="Times New Roman" w:cs="Arial"/>
          <w:color w:val="auto"/>
          <w:sz w:val="24"/>
          <w:szCs w:val="24"/>
          <w:lang w:val="en-GB" w:eastAsia="sl-SI"/>
        </w:rPr>
        <w:t>Programme  2007</w:t>
      </w:r>
      <w:proofErr w:type="gramEnd"/>
      <w:r w:rsidRPr="002C30D6">
        <w:rPr>
          <w:rFonts w:eastAsia="Times New Roman" w:cs="Arial"/>
          <w:color w:val="auto"/>
          <w:sz w:val="24"/>
          <w:szCs w:val="24"/>
          <w:lang w:val="en-GB" w:eastAsia="sl-SI"/>
        </w:rPr>
        <w:t xml:space="preserve">-2012. Available at: </w:t>
      </w:r>
      <w:r w:rsidR="007E5932" w:rsidRPr="002C30D6">
        <w:rPr>
          <w:rFonts w:eastAsia="Times New Roman" w:cs="Arial"/>
          <w:color w:val="auto"/>
          <w:sz w:val="24"/>
          <w:szCs w:val="24"/>
          <w:lang w:val="en-GB" w:eastAsia="sl-SI"/>
        </w:rPr>
        <w:t>http://www.mz.gov.si/fileadmin/mz.gov.si/pageuploads/angleska_verzija_MZ/HEPA-Slovenia-prevod_ang.pdf</w:t>
      </w:r>
    </w:p>
    <w:p w:rsidR="007E5932" w:rsidRPr="002C30D6" w:rsidRDefault="007E5932" w:rsidP="007E5932">
      <w:pPr>
        <w:spacing w:after="120"/>
        <w:rPr>
          <w:rFonts w:eastAsia="Times New Roman" w:cs="Arial"/>
          <w:color w:val="auto"/>
          <w:sz w:val="24"/>
          <w:szCs w:val="24"/>
          <w:lang w:val="en-GB" w:eastAsia="sl-SI"/>
        </w:rPr>
      </w:pPr>
      <w:proofErr w:type="gramStart"/>
      <w:r w:rsidRPr="002C30D6">
        <w:rPr>
          <w:rFonts w:eastAsia="Times New Roman" w:cs="Arial"/>
          <w:color w:val="auto"/>
          <w:sz w:val="24"/>
          <w:szCs w:val="24"/>
          <w:lang w:val="en-GB" w:eastAsia="sl-SI"/>
        </w:rPr>
        <w:t>O'Connor, M. (2007).</w:t>
      </w:r>
      <w:proofErr w:type="gramEnd"/>
      <w:r w:rsidRPr="002C30D6">
        <w:rPr>
          <w:rFonts w:eastAsia="Times New Roman" w:cs="Arial"/>
          <w:color w:val="auto"/>
          <w:sz w:val="24"/>
          <w:szCs w:val="24"/>
          <w:lang w:val="en-GB" w:eastAsia="sl-SI"/>
        </w:rPr>
        <w:t xml:space="preserve"> </w:t>
      </w:r>
      <w:proofErr w:type="spellStart"/>
      <w:proofErr w:type="gramStart"/>
      <w:r w:rsidRPr="002C30D6">
        <w:rPr>
          <w:rFonts w:eastAsia="Times New Roman" w:cs="Arial"/>
          <w:i/>
          <w:color w:val="auto"/>
          <w:sz w:val="24"/>
          <w:szCs w:val="24"/>
          <w:lang w:val="en-GB" w:eastAsia="sl-SI"/>
        </w:rPr>
        <w:t>Sé</w:t>
      </w:r>
      <w:proofErr w:type="spellEnd"/>
      <w:r w:rsidRPr="002C30D6">
        <w:rPr>
          <w:rFonts w:eastAsia="Times New Roman" w:cs="Arial"/>
          <w:i/>
          <w:color w:val="auto"/>
          <w:sz w:val="24"/>
          <w:szCs w:val="24"/>
          <w:lang w:val="en-GB" w:eastAsia="sl-SI"/>
        </w:rPr>
        <w:t xml:space="preserve"> </w:t>
      </w:r>
      <w:proofErr w:type="spellStart"/>
      <w:r w:rsidRPr="002C30D6">
        <w:rPr>
          <w:rFonts w:eastAsia="Times New Roman" w:cs="Arial"/>
          <w:i/>
          <w:color w:val="auto"/>
          <w:sz w:val="24"/>
          <w:szCs w:val="24"/>
          <w:lang w:val="en-GB" w:eastAsia="sl-SI"/>
        </w:rPr>
        <w:t>Sí</w:t>
      </w:r>
      <w:proofErr w:type="spellEnd"/>
      <w:r w:rsidRPr="002C30D6">
        <w:rPr>
          <w:rFonts w:eastAsia="Times New Roman" w:cs="Arial"/>
          <w:i/>
          <w:color w:val="auto"/>
          <w:sz w:val="24"/>
          <w:szCs w:val="24"/>
          <w:lang w:val="en-GB" w:eastAsia="sl-SI"/>
        </w:rPr>
        <w:t xml:space="preserve"> gender in Irish education.</w:t>
      </w:r>
      <w:proofErr w:type="gramEnd"/>
      <w:r w:rsidRPr="002C30D6">
        <w:rPr>
          <w:rFonts w:eastAsia="Times New Roman" w:cs="Arial"/>
          <w:i/>
          <w:color w:val="auto"/>
          <w:sz w:val="24"/>
          <w:szCs w:val="24"/>
          <w:lang w:val="en-GB" w:eastAsia="sl-SI"/>
        </w:rPr>
        <w:t xml:space="preserve"> Dublin</w:t>
      </w:r>
      <w:r w:rsidRPr="002C30D6">
        <w:rPr>
          <w:rFonts w:eastAsia="Times New Roman" w:cs="Arial"/>
          <w:color w:val="auto"/>
          <w:sz w:val="24"/>
          <w:szCs w:val="24"/>
          <w:lang w:val="en-GB" w:eastAsia="sl-SI"/>
        </w:rPr>
        <w:t xml:space="preserve">, Ireland: Department of Education and Science. </w:t>
      </w:r>
    </w:p>
    <w:p w:rsidR="00F22564" w:rsidRPr="002C30D6" w:rsidRDefault="00F22564" w:rsidP="00F22564">
      <w:pPr>
        <w:spacing w:after="120"/>
        <w:rPr>
          <w:rFonts w:eastAsia="Times New Roman" w:cs="Arial"/>
          <w:color w:val="auto"/>
          <w:sz w:val="24"/>
          <w:szCs w:val="24"/>
          <w:lang w:val="en-GB" w:eastAsia="sl-SI"/>
        </w:rPr>
      </w:pPr>
      <w:proofErr w:type="gramStart"/>
      <w:r w:rsidRPr="002C30D6">
        <w:rPr>
          <w:rFonts w:eastAsia="Times New Roman" w:cs="Arial"/>
          <w:color w:val="auto"/>
          <w:sz w:val="24"/>
          <w:szCs w:val="24"/>
          <w:lang w:val="en-GB" w:eastAsia="sl-SI"/>
        </w:rPr>
        <w:lastRenderedPageBreak/>
        <w:t>OECD (2016).</w:t>
      </w:r>
      <w:proofErr w:type="gramEnd"/>
      <w:r w:rsidRPr="002C30D6">
        <w:rPr>
          <w:rFonts w:eastAsia="Times New Roman" w:cs="Arial"/>
          <w:color w:val="auto"/>
          <w:sz w:val="24"/>
          <w:szCs w:val="24"/>
          <w:lang w:val="en-GB" w:eastAsia="sl-SI"/>
        </w:rPr>
        <w:t xml:space="preserve"> </w:t>
      </w:r>
      <w:r w:rsidRPr="002C30D6">
        <w:rPr>
          <w:rFonts w:eastAsia="Times New Roman" w:cs="Arial"/>
          <w:i/>
          <w:color w:val="auto"/>
          <w:sz w:val="24"/>
          <w:szCs w:val="24"/>
          <w:lang w:val="en-GB" w:eastAsia="sl-SI"/>
        </w:rPr>
        <w:t xml:space="preserve">Skills Matter: Further Results from the Survey of Adult Skills. </w:t>
      </w:r>
      <w:proofErr w:type="gramStart"/>
      <w:r w:rsidRPr="002C30D6">
        <w:rPr>
          <w:rFonts w:eastAsia="Times New Roman" w:cs="Arial"/>
          <w:i/>
          <w:color w:val="auto"/>
          <w:sz w:val="24"/>
          <w:szCs w:val="24"/>
          <w:lang w:val="en-GB" w:eastAsia="sl-SI"/>
        </w:rPr>
        <w:t>OECD Skills Studies</w:t>
      </w:r>
      <w:r w:rsidRPr="002C30D6">
        <w:rPr>
          <w:rFonts w:eastAsia="Times New Roman" w:cs="Arial"/>
          <w:color w:val="auto"/>
          <w:sz w:val="24"/>
          <w:szCs w:val="24"/>
          <w:lang w:val="en-GB" w:eastAsia="sl-SI"/>
        </w:rPr>
        <w:t>.</w:t>
      </w:r>
      <w:proofErr w:type="gramEnd"/>
      <w:r w:rsidRPr="002C30D6">
        <w:rPr>
          <w:rFonts w:eastAsia="Times New Roman" w:cs="Arial"/>
          <w:color w:val="auto"/>
          <w:sz w:val="24"/>
          <w:szCs w:val="24"/>
          <w:lang w:val="en-GB" w:eastAsia="sl-SI"/>
        </w:rPr>
        <w:t xml:space="preserve"> Paris: OECD Publishing.</w:t>
      </w:r>
    </w:p>
    <w:p w:rsidR="007E5932" w:rsidRPr="002C30D6" w:rsidRDefault="007E5932" w:rsidP="007E5932">
      <w:pPr>
        <w:spacing w:after="120"/>
        <w:rPr>
          <w:rFonts w:eastAsia="Times New Roman" w:cs="Arial"/>
          <w:color w:val="auto"/>
          <w:sz w:val="24"/>
          <w:szCs w:val="24"/>
          <w:lang w:val="en-GB" w:eastAsia="sl-SI"/>
        </w:rPr>
      </w:pPr>
      <w:proofErr w:type="gramStart"/>
      <w:r w:rsidRPr="002C30D6">
        <w:rPr>
          <w:rFonts w:eastAsia="Times New Roman" w:cs="Arial"/>
          <w:color w:val="auto"/>
          <w:sz w:val="24"/>
          <w:szCs w:val="24"/>
          <w:lang w:val="en-GB" w:eastAsia="sl-SI"/>
        </w:rPr>
        <w:t>Owens, T. (2000).</w:t>
      </w:r>
      <w:proofErr w:type="gramEnd"/>
      <w:r w:rsidRPr="002C30D6">
        <w:rPr>
          <w:rFonts w:eastAsia="Times New Roman" w:cs="Arial"/>
          <w:color w:val="auto"/>
          <w:sz w:val="24"/>
          <w:szCs w:val="24"/>
          <w:lang w:val="en-GB" w:eastAsia="sl-SI"/>
        </w:rPr>
        <w:t xml:space="preserve"> </w:t>
      </w:r>
      <w:r w:rsidRPr="002C30D6">
        <w:rPr>
          <w:rFonts w:eastAsia="Times New Roman" w:cs="Arial"/>
          <w:i/>
          <w:color w:val="auto"/>
          <w:sz w:val="24"/>
          <w:szCs w:val="24"/>
          <w:lang w:val="en-GB" w:eastAsia="sl-SI"/>
        </w:rPr>
        <w:t>Men on the move: A study of barriers to male participation in education and training initiatives</w:t>
      </w:r>
      <w:r w:rsidRPr="002C30D6">
        <w:rPr>
          <w:rFonts w:eastAsia="Times New Roman" w:cs="Arial"/>
          <w:color w:val="auto"/>
          <w:sz w:val="24"/>
          <w:szCs w:val="24"/>
          <w:lang w:val="en-GB" w:eastAsia="sl-SI"/>
        </w:rPr>
        <w:t>. Dublin, Ireland: AONTAS.</w:t>
      </w:r>
    </w:p>
    <w:p w:rsidR="00F22564" w:rsidRPr="002C30D6" w:rsidRDefault="00F22564" w:rsidP="00F22564">
      <w:pPr>
        <w:spacing w:after="120"/>
        <w:rPr>
          <w:rStyle w:val="Hyperlink"/>
          <w:rFonts w:eastAsia="Times New Roman" w:cs="Times New Roman"/>
          <w:color w:val="auto"/>
          <w:sz w:val="24"/>
          <w:szCs w:val="24"/>
          <w:lang w:val="en-GB" w:eastAsia="sl-SI"/>
        </w:rPr>
      </w:pPr>
      <w:proofErr w:type="spellStart"/>
      <w:proofErr w:type="gramStart"/>
      <w:r w:rsidRPr="002C30D6">
        <w:rPr>
          <w:rFonts w:eastAsia="Times New Roman" w:cs="Arial"/>
          <w:color w:val="auto"/>
          <w:sz w:val="24"/>
          <w:szCs w:val="24"/>
          <w:lang w:val="en-GB" w:eastAsia="sl-SI"/>
        </w:rPr>
        <w:t>ReNPIO</w:t>
      </w:r>
      <w:proofErr w:type="spellEnd"/>
      <w:r w:rsidRPr="002C30D6">
        <w:rPr>
          <w:rFonts w:eastAsia="Times New Roman" w:cs="Arial"/>
          <w:color w:val="auto"/>
          <w:sz w:val="24"/>
          <w:szCs w:val="24"/>
          <w:lang w:val="en-GB" w:eastAsia="sl-SI"/>
        </w:rPr>
        <w:t xml:space="preserve"> (2014).</w:t>
      </w:r>
      <w:proofErr w:type="gramEnd"/>
      <w:r w:rsidRPr="002C30D6">
        <w:rPr>
          <w:rFonts w:eastAsia="Times New Roman" w:cs="Arial"/>
          <w:color w:val="auto"/>
          <w:sz w:val="24"/>
          <w:szCs w:val="24"/>
          <w:lang w:val="en-GB" w:eastAsia="sl-SI"/>
        </w:rPr>
        <w:t xml:space="preserve"> </w:t>
      </w:r>
      <w:proofErr w:type="spellStart"/>
      <w:r w:rsidRPr="002C30D6">
        <w:rPr>
          <w:rFonts w:eastAsia="Times New Roman" w:cs="Arial"/>
          <w:color w:val="auto"/>
          <w:sz w:val="24"/>
          <w:szCs w:val="24"/>
          <w:lang w:val="en-GB" w:eastAsia="sl-SI"/>
        </w:rPr>
        <w:t>Resolucija</w:t>
      </w:r>
      <w:proofErr w:type="spellEnd"/>
      <w:r w:rsidRPr="002C30D6">
        <w:rPr>
          <w:rFonts w:eastAsia="Times New Roman" w:cs="Arial"/>
          <w:color w:val="auto"/>
          <w:sz w:val="24"/>
          <w:szCs w:val="24"/>
          <w:lang w:val="en-GB" w:eastAsia="sl-SI"/>
        </w:rPr>
        <w:t xml:space="preserve"> o </w:t>
      </w:r>
      <w:proofErr w:type="spellStart"/>
      <w:r w:rsidRPr="002C30D6">
        <w:rPr>
          <w:rFonts w:eastAsia="Times New Roman" w:cs="Arial"/>
          <w:color w:val="auto"/>
          <w:sz w:val="24"/>
          <w:szCs w:val="24"/>
          <w:lang w:val="en-GB" w:eastAsia="sl-SI"/>
        </w:rPr>
        <w:t>Nacionalnem</w:t>
      </w:r>
      <w:proofErr w:type="spellEnd"/>
      <w:r w:rsidRPr="002C30D6">
        <w:rPr>
          <w:rFonts w:eastAsia="Times New Roman" w:cs="Arial"/>
          <w:color w:val="auto"/>
          <w:sz w:val="24"/>
          <w:szCs w:val="24"/>
          <w:lang w:val="en-GB" w:eastAsia="sl-SI"/>
        </w:rPr>
        <w:t xml:space="preserve">  </w:t>
      </w:r>
      <w:proofErr w:type="spellStart"/>
      <w:r w:rsidRPr="002C30D6">
        <w:rPr>
          <w:rFonts w:eastAsia="Times New Roman" w:cs="Arial"/>
          <w:color w:val="auto"/>
          <w:sz w:val="24"/>
          <w:szCs w:val="24"/>
          <w:lang w:val="en-GB" w:eastAsia="sl-SI"/>
        </w:rPr>
        <w:t>programu</w:t>
      </w:r>
      <w:proofErr w:type="spellEnd"/>
      <w:r w:rsidRPr="002C30D6">
        <w:rPr>
          <w:rFonts w:eastAsia="Times New Roman" w:cs="Arial"/>
          <w:color w:val="auto"/>
          <w:sz w:val="24"/>
          <w:szCs w:val="24"/>
          <w:lang w:val="en-GB" w:eastAsia="sl-SI"/>
        </w:rPr>
        <w:t xml:space="preserve">  </w:t>
      </w:r>
      <w:proofErr w:type="spellStart"/>
      <w:r w:rsidRPr="002C30D6">
        <w:rPr>
          <w:rFonts w:eastAsia="Times New Roman" w:cs="Arial"/>
          <w:color w:val="auto"/>
          <w:sz w:val="24"/>
          <w:szCs w:val="24"/>
          <w:lang w:val="en-GB" w:eastAsia="sl-SI"/>
        </w:rPr>
        <w:t>izobraževanja</w:t>
      </w:r>
      <w:proofErr w:type="spellEnd"/>
      <w:r w:rsidRPr="002C30D6">
        <w:rPr>
          <w:rFonts w:eastAsia="Times New Roman" w:cs="Arial"/>
          <w:color w:val="auto"/>
          <w:sz w:val="24"/>
          <w:szCs w:val="24"/>
          <w:lang w:val="en-GB" w:eastAsia="sl-SI"/>
        </w:rPr>
        <w:t xml:space="preserve"> </w:t>
      </w:r>
      <w:proofErr w:type="spellStart"/>
      <w:r w:rsidRPr="002C30D6">
        <w:rPr>
          <w:rFonts w:eastAsia="Times New Roman" w:cs="Arial"/>
          <w:color w:val="auto"/>
          <w:sz w:val="24"/>
          <w:szCs w:val="24"/>
          <w:lang w:val="en-GB" w:eastAsia="sl-SI"/>
        </w:rPr>
        <w:t>odraslih</w:t>
      </w:r>
      <w:proofErr w:type="spellEnd"/>
      <w:r w:rsidRPr="002C30D6">
        <w:rPr>
          <w:rFonts w:eastAsia="Times New Roman" w:cs="Arial"/>
          <w:color w:val="auto"/>
          <w:sz w:val="24"/>
          <w:szCs w:val="24"/>
          <w:lang w:val="en-GB" w:eastAsia="sl-SI"/>
        </w:rPr>
        <w:t xml:space="preserve">  v  </w:t>
      </w:r>
      <w:proofErr w:type="spellStart"/>
      <w:r w:rsidRPr="002C30D6">
        <w:rPr>
          <w:rFonts w:eastAsia="Times New Roman" w:cs="Arial"/>
          <w:color w:val="auto"/>
          <w:sz w:val="24"/>
          <w:szCs w:val="24"/>
          <w:lang w:val="en-GB" w:eastAsia="sl-SI"/>
        </w:rPr>
        <w:t>Republiki</w:t>
      </w:r>
      <w:proofErr w:type="spellEnd"/>
      <w:r w:rsidRPr="002C30D6">
        <w:rPr>
          <w:rFonts w:eastAsia="Times New Roman" w:cs="Arial"/>
          <w:color w:val="auto"/>
          <w:sz w:val="24"/>
          <w:szCs w:val="24"/>
          <w:lang w:val="en-GB" w:eastAsia="sl-SI"/>
        </w:rPr>
        <w:t xml:space="preserve">  </w:t>
      </w:r>
      <w:proofErr w:type="spellStart"/>
      <w:r w:rsidRPr="002C30D6">
        <w:rPr>
          <w:rFonts w:eastAsia="Times New Roman" w:cs="Arial"/>
          <w:color w:val="auto"/>
          <w:sz w:val="24"/>
          <w:szCs w:val="24"/>
          <w:lang w:val="en-GB" w:eastAsia="sl-SI"/>
        </w:rPr>
        <w:t>Sloveniji</w:t>
      </w:r>
      <w:proofErr w:type="spellEnd"/>
      <w:r w:rsidRPr="002C30D6">
        <w:rPr>
          <w:rFonts w:eastAsia="Times New Roman" w:cs="Arial"/>
          <w:color w:val="auto"/>
          <w:sz w:val="24"/>
          <w:szCs w:val="24"/>
          <w:lang w:val="en-GB" w:eastAsia="sl-SI"/>
        </w:rPr>
        <w:t xml:space="preserve">  </w:t>
      </w:r>
      <w:proofErr w:type="spellStart"/>
      <w:r w:rsidRPr="002C30D6">
        <w:rPr>
          <w:rFonts w:eastAsia="Times New Roman" w:cs="Arial"/>
          <w:color w:val="auto"/>
          <w:sz w:val="24"/>
          <w:szCs w:val="24"/>
          <w:lang w:val="en-GB" w:eastAsia="sl-SI"/>
        </w:rPr>
        <w:t>za</w:t>
      </w:r>
      <w:proofErr w:type="spellEnd"/>
      <w:r w:rsidRPr="002C30D6">
        <w:rPr>
          <w:rFonts w:eastAsia="Times New Roman" w:cs="Arial"/>
          <w:color w:val="auto"/>
          <w:sz w:val="24"/>
          <w:szCs w:val="24"/>
          <w:lang w:val="en-GB" w:eastAsia="sl-SI"/>
        </w:rPr>
        <w:t xml:space="preserve">  </w:t>
      </w:r>
      <w:proofErr w:type="spellStart"/>
      <w:r w:rsidRPr="002C30D6">
        <w:rPr>
          <w:rFonts w:eastAsia="Times New Roman" w:cs="Arial"/>
          <w:color w:val="auto"/>
          <w:sz w:val="24"/>
          <w:szCs w:val="24"/>
          <w:lang w:val="en-GB" w:eastAsia="sl-SI"/>
        </w:rPr>
        <w:t>obdobje</w:t>
      </w:r>
      <w:proofErr w:type="spellEnd"/>
      <w:r w:rsidRPr="002C30D6">
        <w:rPr>
          <w:rFonts w:eastAsia="Times New Roman" w:cs="Arial"/>
          <w:color w:val="auto"/>
          <w:sz w:val="24"/>
          <w:szCs w:val="24"/>
          <w:lang w:val="en-GB" w:eastAsia="sl-SI"/>
        </w:rPr>
        <w:t xml:space="preserve">  2013-2020  (</w:t>
      </w:r>
      <w:proofErr w:type="spellStart"/>
      <w:r w:rsidRPr="002C30D6">
        <w:rPr>
          <w:rFonts w:eastAsia="Times New Roman" w:cs="Arial"/>
          <w:color w:val="auto"/>
          <w:sz w:val="24"/>
          <w:szCs w:val="24"/>
          <w:lang w:val="en-GB" w:eastAsia="sl-SI"/>
        </w:rPr>
        <w:t>ReNPIO</w:t>
      </w:r>
      <w:proofErr w:type="spellEnd"/>
      <w:r w:rsidRPr="002C30D6">
        <w:rPr>
          <w:rFonts w:eastAsia="Times New Roman" w:cs="Arial"/>
          <w:color w:val="auto"/>
          <w:sz w:val="24"/>
          <w:szCs w:val="24"/>
          <w:lang w:val="en-GB" w:eastAsia="sl-SI"/>
        </w:rPr>
        <w:t xml:space="preserve"> 13-20). Ljubljana: </w:t>
      </w:r>
      <w:proofErr w:type="spellStart"/>
      <w:r w:rsidRPr="002C30D6">
        <w:rPr>
          <w:rFonts w:eastAsia="Times New Roman" w:cs="Arial"/>
          <w:color w:val="auto"/>
          <w:sz w:val="24"/>
          <w:szCs w:val="24"/>
          <w:lang w:val="en-GB" w:eastAsia="sl-SI"/>
        </w:rPr>
        <w:t>Andragoški</w:t>
      </w:r>
      <w:proofErr w:type="spellEnd"/>
      <w:r w:rsidRPr="002C30D6">
        <w:rPr>
          <w:rFonts w:eastAsia="Times New Roman" w:cs="Arial"/>
          <w:color w:val="auto"/>
          <w:sz w:val="24"/>
          <w:szCs w:val="24"/>
          <w:lang w:val="en-GB" w:eastAsia="sl-SI"/>
        </w:rPr>
        <w:t xml:space="preserve"> </w:t>
      </w:r>
      <w:proofErr w:type="spellStart"/>
      <w:r w:rsidRPr="002C30D6">
        <w:rPr>
          <w:rFonts w:eastAsia="Times New Roman" w:cs="Arial"/>
          <w:color w:val="auto"/>
          <w:sz w:val="24"/>
          <w:szCs w:val="24"/>
          <w:lang w:val="en-GB" w:eastAsia="sl-SI"/>
        </w:rPr>
        <w:t>center</w:t>
      </w:r>
      <w:proofErr w:type="spellEnd"/>
      <w:r w:rsidRPr="002C30D6">
        <w:rPr>
          <w:rFonts w:eastAsia="Times New Roman" w:cs="Arial"/>
          <w:color w:val="auto"/>
          <w:sz w:val="24"/>
          <w:szCs w:val="24"/>
          <w:lang w:val="en-GB" w:eastAsia="sl-SI"/>
        </w:rPr>
        <w:t xml:space="preserve"> </w:t>
      </w:r>
      <w:proofErr w:type="spellStart"/>
      <w:r w:rsidRPr="002C30D6">
        <w:rPr>
          <w:rFonts w:eastAsia="Times New Roman" w:cs="Arial"/>
          <w:color w:val="auto"/>
          <w:sz w:val="24"/>
          <w:szCs w:val="24"/>
          <w:lang w:val="en-GB" w:eastAsia="sl-SI"/>
        </w:rPr>
        <w:t>Slovenije</w:t>
      </w:r>
      <w:proofErr w:type="spellEnd"/>
      <w:r w:rsidRPr="002C30D6">
        <w:rPr>
          <w:rFonts w:eastAsia="Times New Roman" w:cs="Arial"/>
          <w:color w:val="auto"/>
          <w:sz w:val="24"/>
          <w:szCs w:val="24"/>
          <w:lang w:val="en-GB" w:eastAsia="sl-SI"/>
        </w:rPr>
        <w:t xml:space="preserve">, 2014. Available at: </w:t>
      </w:r>
      <w:r w:rsidRPr="002C30D6">
        <w:rPr>
          <w:rFonts w:eastAsia="Times New Roman" w:cs="Times New Roman"/>
          <w:color w:val="auto"/>
          <w:sz w:val="24"/>
          <w:szCs w:val="24"/>
          <w:lang w:val="en-GB" w:eastAsia="sl-SI"/>
        </w:rPr>
        <w:t>http://arhiv.acs.si/dokumenti/ReNPIO_2013%E2%80%932020.pdf</w:t>
      </w:r>
    </w:p>
    <w:p w:rsidR="00C866B6" w:rsidRPr="002C30D6" w:rsidRDefault="00C866B6" w:rsidP="00F22564">
      <w:pPr>
        <w:spacing w:after="120"/>
        <w:rPr>
          <w:rStyle w:val="Hyperlink"/>
          <w:rFonts w:eastAsia="Times New Roman" w:cs="Times New Roman"/>
          <w:color w:val="auto"/>
          <w:sz w:val="24"/>
          <w:szCs w:val="24"/>
          <w:u w:val="none"/>
          <w:lang w:val="en-GB" w:eastAsia="sl-SI"/>
        </w:rPr>
      </w:pPr>
      <w:proofErr w:type="gramStart"/>
      <w:r w:rsidRPr="002C30D6">
        <w:rPr>
          <w:rStyle w:val="Hyperlink"/>
          <w:rFonts w:eastAsia="Times New Roman" w:cs="Times New Roman"/>
          <w:color w:val="auto"/>
          <w:sz w:val="24"/>
          <w:szCs w:val="24"/>
          <w:u w:val="none"/>
          <w:lang w:val="en-GB" w:eastAsia="sl-SI"/>
        </w:rPr>
        <w:t xml:space="preserve">Reynolds, K. A., C. S. Mackenzie, M. </w:t>
      </w:r>
      <w:proofErr w:type="spellStart"/>
      <w:r w:rsidRPr="002C30D6">
        <w:rPr>
          <w:rStyle w:val="Hyperlink"/>
          <w:rFonts w:eastAsia="Times New Roman" w:cs="Times New Roman"/>
          <w:color w:val="auto"/>
          <w:sz w:val="24"/>
          <w:szCs w:val="24"/>
          <w:u w:val="none"/>
          <w:lang w:val="en-GB" w:eastAsia="sl-SI"/>
        </w:rPr>
        <w:t>Medved</w:t>
      </w:r>
      <w:proofErr w:type="spellEnd"/>
      <w:r w:rsidRPr="002C30D6">
        <w:rPr>
          <w:rStyle w:val="Hyperlink"/>
          <w:rFonts w:eastAsia="Times New Roman" w:cs="Times New Roman"/>
          <w:color w:val="auto"/>
          <w:sz w:val="24"/>
          <w:szCs w:val="24"/>
          <w:u w:val="none"/>
          <w:lang w:val="en-GB" w:eastAsia="sl-SI"/>
        </w:rPr>
        <w:t xml:space="preserve"> and K. Roger (2015).</w:t>
      </w:r>
      <w:proofErr w:type="gramEnd"/>
      <w:r w:rsidRPr="002C30D6">
        <w:rPr>
          <w:rStyle w:val="Hyperlink"/>
          <w:rFonts w:eastAsia="Times New Roman" w:cs="Times New Roman"/>
          <w:color w:val="auto"/>
          <w:sz w:val="24"/>
          <w:szCs w:val="24"/>
          <w:u w:val="none"/>
          <w:lang w:val="en-GB" w:eastAsia="sl-SI"/>
        </w:rPr>
        <w:t xml:space="preserve"> The experiences of older male adults throughout their environment in community programme for men. </w:t>
      </w:r>
      <w:r w:rsidRPr="002C30D6">
        <w:rPr>
          <w:rStyle w:val="Hyperlink"/>
          <w:rFonts w:eastAsia="Times New Roman" w:cs="Times New Roman"/>
          <w:i/>
          <w:color w:val="auto"/>
          <w:sz w:val="24"/>
          <w:szCs w:val="24"/>
          <w:u w:val="none"/>
          <w:lang w:val="en-GB" w:eastAsia="sl-SI"/>
        </w:rPr>
        <w:t>Aging &amp; Society</w:t>
      </w:r>
      <w:r w:rsidRPr="002C30D6">
        <w:rPr>
          <w:rStyle w:val="Hyperlink"/>
          <w:rFonts w:eastAsia="Times New Roman" w:cs="Times New Roman"/>
          <w:color w:val="auto"/>
          <w:sz w:val="24"/>
          <w:szCs w:val="24"/>
          <w:u w:val="none"/>
          <w:lang w:val="en-GB" w:eastAsia="sl-SI"/>
        </w:rPr>
        <w:t>, 35, 531</w:t>
      </w:r>
      <w:r w:rsidRPr="002C30D6">
        <w:rPr>
          <w:rFonts w:eastAsia="Times New Roman" w:cs="Times New Roman"/>
          <w:color w:val="auto"/>
          <w:sz w:val="24"/>
          <w:szCs w:val="24"/>
          <w:lang w:val="en-GB" w:eastAsia="sl-SI"/>
        </w:rPr>
        <w:t>–</w:t>
      </w:r>
      <w:r w:rsidRPr="002C30D6">
        <w:rPr>
          <w:rStyle w:val="Hyperlink"/>
          <w:rFonts w:eastAsia="Times New Roman" w:cs="Times New Roman"/>
          <w:color w:val="auto"/>
          <w:sz w:val="24"/>
          <w:szCs w:val="24"/>
          <w:u w:val="none"/>
          <w:lang w:val="en-GB" w:eastAsia="sl-SI"/>
        </w:rPr>
        <w:t>551.</w:t>
      </w:r>
    </w:p>
    <w:p w:rsidR="00F22564" w:rsidRPr="002C30D6" w:rsidRDefault="00F22564" w:rsidP="00F22564">
      <w:pPr>
        <w:shd w:val="clear" w:color="auto" w:fill="FFFFFF" w:themeFill="background1"/>
        <w:spacing w:after="120"/>
        <w:jc w:val="both"/>
        <w:rPr>
          <w:rFonts w:eastAsia="Times New Roman" w:cs="Times New Roman"/>
          <w:color w:val="auto"/>
          <w:sz w:val="24"/>
          <w:szCs w:val="24"/>
          <w:lang w:val="en-GB" w:eastAsia="sl-SI"/>
        </w:rPr>
      </w:pPr>
      <w:proofErr w:type="spellStart"/>
      <w:proofErr w:type="gramStart"/>
      <w:r w:rsidRPr="002C30D6">
        <w:rPr>
          <w:rFonts w:eastAsia="Times New Roman" w:cs="Times New Roman"/>
          <w:color w:val="auto"/>
          <w:sz w:val="24"/>
          <w:szCs w:val="24"/>
          <w:lang w:val="en-GB" w:eastAsia="sl-SI"/>
        </w:rPr>
        <w:t>Rovan</w:t>
      </w:r>
      <w:proofErr w:type="spellEnd"/>
      <w:r w:rsidRPr="002C30D6">
        <w:rPr>
          <w:rFonts w:eastAsia="Times New Roman" w:cs="Times New Roman"/>
          <w:color w:val="auto"/>
          <w:sz w:val="24"/>
          <w:szCs w:val="24"/>
          <w:lang w:val="en-GB" w:eastAsia="sl-SI"/>
        </w:rPr>
        <w:t xml:space="preserve">, J., K. </w:t>
      </w:r>
      <w:proofErr w:type="spellStart"/>
      <w:r w:rsidRPr="002C30D6">
        <w:rPr>
          <w:rFonts w:eastAsia="Times New Roman" w:cs="Times New Roman"/>
          <w:color w:val="auto"/>
          <w:sz w:val="24"/>
          <w:szCs w:val="24"/>
          <w:lang w:val="en-GB" w:eastAsia="sl-SI"/>
        </w:rPr>
        <w:t>Malešič</w:t>
      </w:r>
      <w:proofErr w:type="spellEnd"/>
      <w:r w:rsidRPr="002C30D6">
        <w:rPr>
          <w:rFonts w:eastAsia="Times New Roman" w:cs="Times New Roman"/>
          <w:color w:val="auto"/>
          <w:sz w:val="24"/>
          <w:szCs w:val="24"/>
          <w:lang w:val="en-GB" w:eastAsia="sl-SI"/>
        </w:rPr>
        <w:t xml:space="preserve"> and L. </w:t>
      </w:r>
      <w:proofErr w:type="spellStart"/>
      <w:r w:rsidRPr="002C30D6">
        <w:rPr>
          <w:rFonts w:eastAsia="Times New Roman" w:cs="Times New Roman"/>
          <w:color w:val="auto"/>
          <w:sz w:val="24"/>
          <w:szCs w:val="24"/>
          <w:lang w:val="en-GB" w:eastAsia="sl-SI"/>
        </w:rPr>
        <w:t>Bregar</w:t>
      </w:r>
      <w:proofErr w:type="spellEnd"/>
      <w:r w:rsidRPr="002C30D6">
        <w:rPr>
          <w:rFonts w:eastAsia="Times New Roman" w:cs="Times New Roman"/>
          <w:color w:val="auto"/>
          <w:sz w:val="24"/>
          <w:szCs w:val="24"/>
          <w:lang w:val="en-GB" w:eastAsia="sl-SI"/>
        </w:rPr>
        <w:t xml:space="preserve"> (2009).</w:t>
      </w:r>
      <w:proofErr w:type="gramEnd"/>
      <w:r w:rsidRPr="002C30D6">
        <w:rPr>
          <w:rFonts w:eastAsia="Times New Roman" w:cs="Times New Roman"/>
          <w:color w:val="auto"/>
          <w:sz w:val="24"/>
          <w:szCs w:val="24"/>
          <w:lang w:val="en-GB" w:eastAsia="sl-SI"/>
        </w:rPr>
        <w:t xml:space="preserve"> </w:t>
      </w:r>
      <w:proofErr w:type="gramStart"/>
      <w:r w:rsidRPr="002C30D6">
        <w:rPr>
          <w:rFonts w:eastAsia="Times New Roman" w:cs="Times New Roman"/>
          <w:color w:val="auto"/>
          <w:sz w:val="24"/>
          <w:szCs w:val="24"/>
          <w:lang w:val="en-GB" w:eastAsia="sl-SI"/>
        </w:rPr>
        <w:t>Well-being of the municipalities in Slovenia.</w:t>
      </w:r>
      <w:proofErr w:type="gramEnd"/>
      <w:r w:rsidRPr="002C30D6">
        <w:rPr>
          <w:rFonts w:eastAsia="Times New Roman" w:cs="Times New Roman"/>
          <w:color w:val="auto"/>
          <w:sz w:val="24"/>
          <w:szCs w:val="24"/>
          <w:lang w:val="en-GB" w:eastAsia="sl-SI"/>
        </w:rPr>
        <w:t xml:space="preserve"> </w:t>
      </w:r>
      <w:proofErr w:type="spellStart"/>
      <w:proofErr w:type="gramStart"/>
      <w:r w:rsidRPr="002C30D6">
        <w:rPr>
          <w:rFonts w:eastAsia="Times New Roman" w:cs="Times New Roman"/>
          <w:i/>
          <w:color w:val="auto"/>
          <w:sz w:val="24"/>
          <w:szCs w:val="24"/>
          <w:lang w:val="en-GB" w:eastAsia="sl-SI"/>
        </w:rPr>
        <w:t>Geodetski</w:t>
      </w:r>
      <w:proofErr w:type="spellEnd"/>
      <w:r w:rsidRPr="002C30D6">
        <w:rPr>
          <w:rFonts w:eastAsia="Times New Roman" w:cs="Times New Roman"/>
          <w:i/>
          <w:color w:val="auto"/>
          <w:sz w:val="24"/>
          <w:szCs w:val="24"/>
          <w:lang w:val="en-GB" w:eastAsia="sl-SI"/>
        </w:rPr>
        <w:t xml:space="preserve"> </w:t>
      </w:r>
      <w:proofErr w:type="spellStart"/>
      <w:r w:rsidRPr="002C30D6">
        <w:rPr>
          <w:rFonts w:eastAsia="Times New Roman" w:cs="Times New Roman"/>
          <w:i/>
          <w:color w:val="auto"/>
          <w:sz w:val="24"/>
          <w:szCs w:val="24"/>
          <w:lang w:val="en-GB" w:eastAsia="sl-SI"/>
        </w:rPr>
        <w:t>vestnik</w:t>
      </w:r>
      <w:proofErr w:type="spellEnd"/>
      <w:r w:rsidRPr="002C30D6">
        <w:rPr>
          <w:rFonts w:eastAsia="Times New Roman" w:cs="Times New Roman"/>
          <w:color w:val="auto"/>
          <w:sz w:val="24"/>
          <w:szCs w:val="24"/>
          <w:lang w:val="en-GB" w:eastAsia="sl-SI"/>
        </w:rPr>
        <w:t>, 53(1), 92–113.</w:t>
      </w:r>
      <w:proofErr w:type="gramEnd"/>
    </w:p>
    <w:p w:rsidR="00F22564" w:rsidRPr="002C30D6" w:rsidRDefault="00F22564" w:rsidP="00F22564">
      <w:pPr>
        <w:shd w:val="clear" w:color="auto" w:fill="FFFFFF" w:themeFill="background1"/>
        <w:spacing w:after="120"/>
        <w:rPr>
          <w:rFonts w:eastAsia="Times New Roman" w:cs="Times New Roman"/>
          <w:iCs/>
          <w:color w:val="auto"/>
          <w:sz w:val="24"/>
          <w:szCs w:val="24"/>
          <w:lang w:val="en-GB" w:eastAsia="sl-SI"/>
        </w:rPr>
      </w:pPr>
      <w:proofErr w:type="gramStart"/>
      <w:r w:rsidRPr="002C30D6">
        <w:rPr>
          <w:rFonts w:eastAsia="Times New Roman" w:cs="Times New Roman"/>
          <w:iCs/>
          <w:color w:val="auto"/>
          <w:sz w:val="24"/>
          <w:szCs w:val="24"/>
          <w:lang w:val="en-GB" w:eastAsia="sl-SI"/>
        </w:rPr>
        <w:t xml:space="preserve">Radovan, M., and S. </w:t>
      </w:r>
      <w:proofErr w:type="spellStart"/>
      <w:r w:rsidRPr="002C30D6">
        <w:rPr>
          <w:rFonts w:eastAsia="Times New Roman" w:cs="Times New Roman"/>
          <w:iCs/>
          <w:color w:val="auto"/>
          <w:sz w:val="24"/>
          <w:szCs w:val="24"/>
          <w:lang w:val="en-GB" w:eastAsia="sl-SI"/>
        </w:rPr>
        <w:t>Jelenc</w:t>
      </w:r>
      <w:proofErr w:type="spellEnd"/>
      <w:r w:rsidRPr="002C30D6">
        <w:rPr>
          <w:rFonts w:eastAsia="Times New Roman" w:cs="Times New Roman"/>
          <w:iCs/>
          <w:color w:val="auto"/>
          <w:sz w:val="24"/>
          <w:szCs w:val="24"/>
          <w:lang w:val="en-GB" w:eastAsia="sl-SI"/>
        </w:rPr>
        <w:t xml:space="preserve"> </w:t>
      </w:r>
      <w:proofErr w:type="spellStart"/>
      <w:r w:rsidRPr="002C30D6">
        <w:rPr>
          <w:rFonts w:eastAsia="Times New Roman" w:cs="Times New Roman"/>
          <w:iCs/>
          <w:color w:val="auto"/>
          <w:sz w:val="24"/>
          <w:szCs w:val="24"/>
          <w:lang w:val="en-GB" w:eastAsia="sl-SI"/>
        </w:rPr>
        <w:t>Krašovec</w:t>
      </w:r>
      <w:proofErr w:type="spellEnd"/>
      <w:r w:rsidRPr="002C30D6">
        <w:rPr>
          <w:rFonts w:eastAsia="Times New Roman" w:cs="Times New Roman"/>
          <w:iCs/>
          <w:color w:val="auto"/>
          <w:sz w:val="24"/>
          <w:szCs w:val="24"/>
          <w:lang w:val="en-GB" w:eastAsia="sl-SI"/>
        </w:rPr>
        <w:t xml:space="preserve"> (eds.) (2014).</w:t>
      </w:r>
      <w:proofErr w:type="gramEnd"/>
      <w:r w:rsidRPr="002C30D6">
        <w:rPr>
          <w:rFonts w:eastAsia="Times New Roman" w:cs="Times New Roman"/>
          <w:iCs/>
          <w:color w:val="auto"/>
          <w:sz w:val="24"/>
          <w:szCs w:val="24"/>
          <w:lang w:val="en-GB" w:eastAsia="sl-SI"/>
        </w:rPr>
        <w:t xml:space="preserve"> </w:t>
      </w:r>
      <w:r w:rsidRPr="002C30D6">
        <w:rPr>
          <w:rFonts w:eastAsia="Times New Roman" w:cs="Times New Roman"/>
          <w:i/>
          <w:iCs/>
          <w:color w:val="auto"/>
          <w:sz w:val="24"/>
          <w:szCs w:val="24"/>
          <w:lang w:val="en-GB" w:eastAsia="sl-SI"/>
        </w:rPr>
        <w:t>Older Men Learning in the Community: European Snapshots.</w:t>
      </w:r>
      <w:r w:rsidRPr="002C30D6">
        <w:rPr>
          <w:rFonts w:eastAsia="Times New Roman" w:cs="Times New Roman"/>
          <w:iCs/>
          <w:color w:val="auto"/>
          <w:sz w:val="24"/>
          <w:szCs w:val="24"/>
          <w:lang w:val="en-GB" w:eastAsia="sl-SI"/>
        </w:rPr>
        <w:t xml:space="preserve"> Ljubljana: </w:t>
      </w:r>
      <w:proofErr w:type="spellStart"/>
      <w:r w:rsidRPr="002C30D6">
        <w:rPr>
          <w:rFonts w:eastAsia="Times New Roman" w:cs="Times New Roman"/>
          <w:iCs/>
          <w:color w:val="auto"/>
          <w:sz w:val="24"/>
          <w:szCs w:val="24"/>
          <w:lang w:val="en-GB" w:eastAsia="sl-SI"/>
        </w:rPr>
        <w:t>Filozofska</w:t>
      </w:r>
      <w:proofErr w:type="spellEnd"/>
      <w:r w:rsidRPr="002C30D6">
        <w:rPr>
          <w:rFonts w:eastAsia="Times New Roman" w:cs="Times New Roman"/>
          <w:iCs/>
          <w:color w:val="auto"/>
          <w:sz w:val="24"/>
          <w:szCs w:val="24"/>
          <w:lang w:val="en-GB" w:eastAsia="sl-SI"/>
        </w:rPr>
        <w:t xml:space="preserve"> </w:t>
      </w:r>
      <w:proofErr w:type="spellStart"/>
      <w:r w:rsidRPr="002C30D6">
        <w:rPr>
          <w:rFonts w:eastAsia="Times New Roman" w:cs="Times New Roman"/>
          <w:iCs/>
          <w:color w:val="auto"/>
          <w:sz w:val="24"/>
          <w:szCs w:val="24"/>
          <w:lang w:val="en-GB" w:eastAsia="sl-SI"/>
        </w:rPr>
        <w:t>fakulteta</w:t>
      </w:r>
      <w:proofErr w:type="spellEnd"/>
      <w:r w:rsidRPr="002C30D6">
        <w:rPr>
          <w:rFonts w:eastAsia="Times New Roman" w:cs="Times New Roman"/>
          <w:iCs/>
          <w:color w:val="auto"/>
          <w:sz w:val="24"/>
          <w:szCs w:val="24"/>
          <w:lang w:val="en-GB" w:eastAsia="sl-SI"/>
        </w:rPr>
        <w:t xml:space="preserve">. </w:t>
      </w:r>
    </w:p>
    <w:p w:rsidR="00F22564" w:rsidRPr="002C30D6" w:rsidRDefault="00F22564" w:rsidP="00F22564">
      <w:pPr>
        <w:autoSpaceDE w:val="0"/>
        <w:autoSpaceDN w:val="0"/>
        <w:adjustRightInd w:val="0"/>
        <w:spacing w:after="120"/>
        <w:rPr>
          <w:rFonts w:cs="TisaPro"/>
          <w:color w:val="auto"/>
          <w:sz w:val="24"/>
          <w:szCs w:val="24"/>
          <w:lang w:val="en-GB"/>
        </w:rPr>
      </w:pPr>
      <w:proofErr w:type="spellStart"/>
      <w:proofErr w:type="gramStart"/>
      <w:r w:rsidRPr="00ED4EB5">
        <w:rPr>
          <w:rFonts w:cs="TisaPro-Bold"/>
          <w:bCs/>
          <w:i/>
          <w:color w:val="auto"/>
          <w:sz w:val="24"/>
          <w:szCs w:val="24"/>
          <w:lang w:val="en-GB"/>
        </w:rPr>
        <w:t>Resolucija</w:t>
      </w:r>
      <w:proofErr w:type="spellEnd"/>
      <w:r w:rsidRPr="00ED4EB5">
        <w:rPr>
          <w:rFonts w:cs="TisaPro-Bold"/>
          <w:bCs/>
          <w:i/>
          <w:color w:val="auto"/>
          <w:sz w:val="24"/>
          <w:szCs w:val="24"/>
          <w:lang w:val="en-GB"/>
        </w:rPr>
        <w:t xml:space="preserve"> o </w:t>
      </w:r>
      <w:proofErr w:type="spellStart"/>
      <w:r w:rsidRPr="00ED4EB5">
        <w:rPr>
          <w:rFonts w:cs="TisaPro-Bold"/>
          <w:bCs/>
          <w:i/>
          <w:color w:val="auto"/>
          <w:sz w:val="24"/>
          <w:szCs w:val="24"/>
          <w:lang w:val="en-GB"/>
        </w:rPr>
        <w:t>nacionalnem</w:t>
      </w:r>
      <w:proofErr w:type="spellEnd"/>
      <w:r w:rsidRPr="00ED4EB5">
        <w:rPr>
          <w:rFonts w:cs="TisaPro-Bold"/>
          <w:bCs/>
          <w:i/>
          <w:color w:val="auto"/>
          <w:sz w:val="24"/>
          <w:szCs w:val="24"/>
          <w:lang w:val="en-GB"/>
        </w:rPr>
        <w:t xml:space="preserve"> </w:t>
      </w:r>
      <w:proofErr w:type="spellStart"/>
      <w:r w:rsidRPr="00ED4EB5">
        <w:rPr>
          <w:rFonts w:cs="TisaPro-Bold"/>
          <w:bCs/>
          <w:i/>
          <w:color w:val="auto"/>
          <w:sz w:val="24"/>
          <w:szCs w:val="24"/>
          <w:lang w:val="en-GB"/>
        </w:rPr>
        <w:t>planu</w:t>
      </w:r>
      <w:proofErr w:type="spellEnd"/>
      <w:r w:rsidRPr="00ED4EB5">
        <w:rPr>
          <w:rFonts w:cs="TisaPro-Bold"/>
          <w:bCs/>
          <w:i/>
          <w:color w:val="auto"/>
          <w:sz w:val="24"/>
          <w:szCs w:val="24"/>
          <w:lang w:val="en-GB"/>
        </w:rPr>
        <w:t xml:space="preserve"> </w:t>
      </w:r>
      <w:proofErr w:type="spellStart"/>
      <w:r w:rsidRPr="00ED4EB5">
        <w:rPr>
          <w:rFonts w:cs="TisaPro-Bold"/>
          <w:bCs/>
          <w:i/>
          <w:color w:val="auto"/>
          <w:sz w:val="24"/>
          <w:szCs w:val="24"/>
          <w:lang w:val="en-GB"/>
        </w:rPr>
        <w:t>zdravstvenega</w:t>
      </w:r>
      <w:proofErr w:type="spellEnd"/>
      <w:r w:rsidRPr="00ED4EB5">
        <w:rPr>
          <w:rFonts w:cs="TisaPro-Bold"/>
          <w:bCs/>
          <w:i/>
          <w:color w:val="auto"/>
          <w:sz w:val="24"/>
          <w:szCs w:val="24"/>
          <w:lang w:val="en-GB"/>
        </w:rPr>
        <w:t xml:space="preserve"> </w:t>
      </w:r>
      <w:proofErr w:type="spellStart"/>
      <w:r w:rsidRPr="00ED4EB5">
        <w:rPr>
          <w:rFonts w:cs="TisaPro-Bold"/>
          <w:bCs/>
          <w:i/>
          <w:color w:val="auto"/>
          <w:sz w:val="24"/>
          <w:szCs w:val="24"/>
          <w:lang w:val="en-GB"/>
        </w:rPr>
        <w:t>varstva</w:t>
      </w:r>
      <w:proofErr w:type="spellEnd"/>
      <w:r w:rsidRPr="00ED4EB5">
        <w:rPr>
          <w:rFonts w:cs="TisaPro-Bold"/>
          <w:bCs/>
          <w:i/>
          <w:color w:val="auto"/>
          <w:sz w:val="24"/>
          <w:szCs w:val="24"/>
          <w:lang w:val="en-GB"/>
        </w:rPr>
        <w:t xml:space="preserve"> 2016–2025</w:t>
      </w:r>
      <w:r w:rsidRPr="00ED4EB5">
        <w:rPr>
          <w:rFonts w:cs="TisaPro-Bold"/>
          <w:bCs/>
          <w:color w:val="auto"/>
          <w:sz w:val="24"/>
          <w:szCs w:val="24"/>
          <w:lang w:val="en-GB"/>
        </w:rPr>
        <w:t xml:space="preserve"> (2016).</w:t>
      </w:r>
      <w:proofErr w:type="gramEnd"/>
      <w:r w:rsidRPr="00ED4EB5">
        <w:rPr>
          <w:rFonts w:cs="TisaPro-Bold"/>
          <w:bCs/>
          <w:color w:val="auto"/>
          <w:sz w:val="24"/>
          <w:szCs w:val="24"/>
          <w:lang w:val="en-GB"/>
        </w:rPr>
        <w:t xml:space="preserve"> </w:t>
      </w:r>
      <w:proofErr w:type="spellStart"/>
      <w:proofErr w:type="gramStart"/>
      <w:r w:rsidRPr="002C30D6">
        <w:rPr>
          <w:rFonts w:cs="TisaPro-Bold"/>
          <w:bCs/>
          <w:i/>
          <w:color w:val="auto"/>
          <w:sz w:val="24"/>
          <w:szCs w:val="24"/>
          <w:lang w:val="en-GB"/>
        </w:rPr>
        <w:t>Skupaj</w:t>
      </w:r>
      <w:proofErr w:type="spellEnd"/>
      <w:r w:rsidRPr="002C30D6">
        <w:rPr>
          <w:rFonts w:cs="TisaPro-Bold"/>
          <w:bCs/>
          <w:i/>
          <w:color w:val="auto"/>
          <w:sz w:val="24"/>
          <w:szCs w:val="24"/>
          <w:lang w:val="en-GB"/>
        </w:rPr>
        <w:t xml:space="preserve"> </w:t>
      </w:r>
      <w:proofErr w:type="spellStart"/>
      <w:r w:rsidRPr="002C30D6">
        <w:rPr>
          <w:rFonts w:cs="TisaPro-Bold"/>
          <w:bCs/>
          <w:i/>
          <w:color w:val="auto"/>
          <w:sz w:val="24"/>
          <w:szCs w:val="24"/>
          <w:lang w:val="en-GB"/>
        </w:rPr>
        <w:t>za</w:t>
      </w:r>
      <w:proofErr w:type="spellEnd"/>
      <w:r w:rsidRPr="002C30D6">
        <w:rPr>
          <w:rFonts w:cs="TisaPro-Bold"/>
          <w:bCs/>
          <w:i/>
          <w:color w:val="auto"/>
          <w:sz w:val="24"/>
          <w:szCs w:val="24"/>
          <w:lang w:val="en-GB"/>
        </w:rPr>
        <w:t xml:space="preserve"> </w:t>
      </w:r>
      <w:proofErr w:type="spellStart"/>
      <w:r w:rsidRPr="002C30D6">
        <w:rPr>
          <w:rFonts w:cs="TisaPro-Bold"/>
          <w:bCs/>
          <w:i/>
          <w:color w:val="auto"/>
          <w:sz w:val="24"/>
          <w:szCs w:val="24"/>
          <w:lang w:val="en-GB"/>
        </w:rPr>
        <w:t>družbo</w:t>
      </w:r>
      <w:proofErr w:type="spellEnd"/>
      <w:r w:rsidRPr="002C30D6">
        <w:rPr>
          <w:rFonts w:cs="TisaPro-Bold"/>
          <w:bCs/>
          <w:i/>
          <w:color w:val="auto"/>
          <w:sz w:val="24"/>
          <w:szCs w:val="24"/>
          <w:lang w:val="en-GB"/>
        </w:rPr>
        <w:t xml:space="preserve"> </w:t>
      </w:r>
      <w:proofErr w:type="spellStart"/>
      <w:r w:rsidRPr="002C30D6">
        <w:rPr>
          <w:rFonts w:cs="TisaPro-Bold"/>
          <w:bCs/>
          <w:i/>
          <w:color w:val="auto"/>
          <w:sz w:val="24"/>
          <w:szCs w:val="24"/>
          <w:lang w:val="en-GB"/>
        </w:rPr>
        <w:t>zdravja</w:t>
      </w:r>
      <w:proofErr w:type="spellEnd"/>
      <w:r w:rsidRPr="002C30D6">
        <w:rPr>
          <w:rFonts w:cs="TisaPro-Bold"/>
          <w:bCs/>
          <w:color w:val="auto"/>
          <w:sz w:val="24"/>
          <w:szCs w:val="24"/>
          <w:lang w:val="en-GB"/>
        </w:rPr>
        <w:t>.</w:t>
      </w:r>
      <w:proofErr w:type="gramEnd"/>
      <w:r w:rsidRPr="002C30D6">
        <w:rPr>
          <w:rFonts w:cs="TisaPro-Bold"/>
          <w:bCs/>
          <w:color w:val="auto"/>
          <w:sz w:val="24"/>
          <w:szCs w:val="24"/>
          <w:lang w:val="en-GB"/>
        </w:rPr>
        <w:t xml:space="preserve"> </w:t>
      </w:r>
      <w:r w:rsidRPr="002C30D6">
        <w:rPr>
          <w:rFonts w:cs="TisaPro"/>
          <w:color w:val="auto"/>
          <w:sz w:val="24"/>
          <w:szCs w:val="24"/>
          <w:lang w:val="en-GB"/>
        </w:rPr>
        <w:t xml:space="preserve">(ReNPZV16-25 / Resolution on the national healthcare plan 2016–2025), Available at: https://www.uradni-list.si/_pdf/2016/Ur/u2016025.pdf </w:t>
      </w:r>
    </w:p>
    <w:p w:rsidR="00F22564" w:rsidRPr="002C30D6" w:rsidRDefault="00F22564" w:rsidP="00F22564">
      <w:pPr>
        <w:autoSpaceDE w:val="0"/>
        <w:autoSpaceDN w:val="0"/>
        <w:adjustRightInd w:val="0"/>
        <w:spacing w:after="120"/>
        <w:rPr>
          <w:rFonts w:eastAsia="Times New Roman" w:cs="Times New Roman"/>
          <w:iCs/>
          <w:color w:val="auto"/>
          <w:sz w:val="24"/>
          <w:szCs w:val="24"/>
          <w:lang w:val="en-GB" w:eastAsia="sl-SI"/>
        </w:rPr>
      </w:pPr>
      <w:r w:rsidRPr="00A60CE4">
        <w:rPr>
          <w:rFonts w:cs="TisaPro-Bold"/>
          <w:bCs/>
          <w:i/>
          <w:color w:val="auto"/>
          <w:sz w:val="24"/>
          <w:szCs w:val="24"/>
          <w:lang w:val="it-IT"/>
        </w:rPr>
        <w:t>Resolucija o nacionalnem programu socialnega varstva za obdobje 2013–2020</w:t>
      </w:r>
      <w:r w:rsidRPr="00A60CE4">
        <w:rPr>
          <w:rFonts w:cs="TisaPro-Bold"/>
          <w:bCs/>
          <w:color w:val="auto"/>
          <w:sz w:val="24"/>
          <w:szCs w:val="24"/>
          <w:lang w:val="it-IT"/>
        </w:rPr>
        <w:t xml:space="preserve"> </w:t>
      </w:r>
      <w:r w:rsidRPr="00A60CE4">
        <w:rPr>
          <w:rFonts w:cs="TisaPro"/>
          <w:color w:val="auto"/>
          <w:sz w:val="24"/>
          <w:szCs w:val="24"/>
          <w:lang w:val="it-IT"/>
        </w:rPr>
        <w:t xml:space="preserve">(ReNPSV13-20). </w:t>
      </w:r>
      <w:proofErr w:type="gramStart"/>
      <w:r w:rsidRPr="002C30D6">
        <w:rPr>
          <w:rFonts w:cs="TisaPro"/>
          <w:color w:val="auto"/>
          <w:sz w:val="24"/>
          <w:szCs w:val="24"/>
          <w:lang w:val="en-GB"/>
        </w:rPr>
        <w:t>(Resolution on the national programme of social protection for the period 2013–2020).</w:t>
      </w:r>
      <w:proofErr w:type="gramEnd"/>
      <w:r w:rsidRPr="002C30D6">
        <w:rPr>
          <w:rFonts w:cs="TisaPro"/>
          <w:color w:val="auto"/>
          <w:sz w:val="24"/>
          <w:szCs w:val="24"/>
          <w:lang w:val="en-GB"/>
        </w:rPr>
        <w:t xml:space="preserve"> </w:t>
      </w:r>
      <w:proofErr w:type="gramStart"/>
      <w:r w:rsidRPr="002C30D6">
        <w:rPr>
          <w:rFonts w:cs="TisaPro"/>
          <w:color w:val="auto"/>
          <w:sz w:val="24"/>
          <w:szCs w:val="24"/>
          <w:lang w:val="en-GB"/>
        </w:rPr>
        <w:t>Official Gazette RS, No. 39/13.</w:t>
      </w:r>
      <w:proofErr w:type="gramEnd"/>
    </w:p>
    <w:p w:rsidR="002406DE" w:rsidRPr="002C30D6" w:rsidRDefault="002406DE" w:rsidP="002406DE">
      <w:pPr>
        <w:autoSpaceDE w:val="0"/>
        <w:autoSpaceDN w:val="0"/>
        <w:adjustRightInd w:val="0"/>
        <w:spacing w:after="120"/>
        <w:rPr>
          <w:rFonts w:eastAsia="PalladioLOT-Roman" w:cs="PalladioLOT-Roman"/>
          <w:color w:val="auto"/>
          <w:sz w:val="24"/>
          <w:szCs w:val="24"/>
          <w:lang w:val="en-GB"/>
        </w:rPr>
      </w:pPr>
      <w:proofErr w:type="gramStart"/>
      <w:r w:rsidRPr="002C30D6">
        <w:rPr>
          <w:rFonts w:eastAsia="PalladioLOT-Roman" w:cs="PalladioLOT-Roman"/>
          <w:color w:val="auto"/>
          <w:sz w:val="24"/>
          <w:szCs w:val="24"/>
          <w:lang w:val="en-GB"/>
        </w:rPr>
        <w:t>Schuller, T., and R. Desjardins (2007).</w:t>
      </w:r>
      <w:proofErr w:type="gramEnd"/>
      <w:r w:rsidRPr="002C30D6">
        <w:rPr>
          <w:rFonts w:eastAsia="PalladioLOT-Roman" w:cs="PalladioLOT-Roman"/>
          <w:color w:val="auto"/>
          <w:sz w:val="24"/>
          <w:szCs w:val="24"/>
          <w:lang w:val="en-GB"/>
        </w:rPr>
        <w:t xml:space="preserve"> </w:t>
      </w:r>
      <w:proofErr w:type="gramStart"/>
      <w:r w:rsidRPr="002C30D6">
        <w:rPr>
          <w:rFonts w:eastAsia="PalladioLOT-Roman" w:cs="PalladioLOT-Roman"/>
          <w:i/>
          <w:color w:val="auto"/>
          <w:sz w:val="24"/>
          <w:szCs w:val="24"/>
          <w:lang w:val="en-GB"/>
        </w:rPr>
        <w:t>Understanding the social outcomes of learning</w:t>
      </w:r>
      <w:r w:rsidRPr="002C30D6">
        <w:rPr>
          <w:rFonts w:eastAsia="PalladioLOT-Roman" w:cs="PalladioLOT-Roman"/>
          <w:color w:val="auto"/>
          <w:sz w:val="24"/>
          <w:szCs w:val="24"/>
          <w:lang w:val="en-GB"/>
        </w:rPr>
        <w:t>.</w:t>
      </w:r>
      <w:proofErr w:type="gramEnd"/>
      <w:r w:rsidRPr="002C30D6">
        <w:rPr>
          <w:rFonts w:eastAsia="PalladioLOT-Roman" w:cs="PalladioLOT-Roman"/>
          <w:color w:val="auto"/>
          <w:sz w:val="24"/>
          <w:szCs w:val="24"/>
          <w:lang w:val="en-GB"/>
        </w:rPr>
        <w:t xml:space="preserve"> Paris: OECD.</w:t>
      </w:r>
    </w:p>
    <w:p w:rsidR="00F22564" w:rsidRPr="002C30D6" w:rsidRDefault="00F22564" w:rsidP="00F22564">
      <w:pPr>
        <w:autoSpaceDE w:val="0"/>
        <w:autoSpaceDN w:val="0"/>
        <w:adjustRightInd w:val="0"/>
        <w:spacing w:after="120"/>
        <w:rPr>
          <w:rFonts w:eastAsia="PalladioLOT-Roman" w:cs="PalladioLOT-Roman"/>
          <w:color w:val="auto"/>
          <w:sz w:val="24"/>
          <w:szCs w:val="24"/>
          <w:lang w:val="en-GB"/>
        </w:rPr>
      </w:pPr>
      <w:proofErr w:type="spellStart"/>
      <w:proofErr w:type="gramStart"/>
      <w:r w:rsidRPr="002C30D6">
        <w:rPr>
          <w:rFonts w:eastAsia="PalladioLOT-Roman" w:cs="PalladioLOT-Roman"/>
          <w:color w:val="auto"/>
          <w:sz w:val="24"/>
          <w:szCs w:val="24"/>
          <w:lang w:val="en-GB"/>
        </w:rPr>
        <w:t>Stropnik</w:t>
      </w:r>
      <w:proofErr w:type="spellEnd"/>
      <w:r w:rsidRPr="002C30D6">
        <w:rPr>
          <w:rFonts w:eastAsia="PalladioLOT-Roman" w:cs="PalladioLOT-Roman"/>
          <w:color w:val="auto"/>
          <w:sz w:val="24"/>
          <w:szCs w:val="24"/>
          <w:lang w:val="en-GB"/>
        </w:rPr>
        <w:t xml:space="preserve">, N., and N. </w:t>
      </w:r>
      <w:proofErr w:type="spellStart"/>
      <w:r w:rsidRPr="002C30D6">
        <w:rPr>
          <w:rFonts w:eastAsia="PalladioLOT-Roman" w:cs="PalladioLOT-Roman"/>
          <w:color w:val="auto"/>
          <w:sz w:val="24"/>
          <w:szCs w:val="24"/>
          <w:lang w:val="en-GB"/>
        </w:rPr>
        <w:t>Kump</w:t>
      </w:r>
      <w:proofErr w:type="spellEnd"/>
      <w:r w:rsidRPr="002C30D6">
        <w:rPr>
          <w:rFonts w:eastAsia="PalladioLOT-Roman" w:cs="PalladioLOT-Roman"/>
          <w:color w:val="auto"/>
          <w:sz w:val="24"/>
          <w:szCs w:val="24"/>
          <w:lang w:val="en-GB"/>
        </w:rPr>
        <w:t xml:space="preserve"> (2008).</w:t>
      </w:r>
      <w:proofErr w:type="gramEnd"/>
      <w:r w:rsidRPr="002C30D6">
        <w:rPr>
          <w:rFonts w:eastAsia="PalladioLOT-Roman" w:cs="PalladioLOT-Roman"/>
          <w:color w:val="auto"/>
          <w:sz w:val="24"/>
          <w:szCs w:val="24"/>
          <w:lang w:val="en-GB"/>
        </w:rPr>
        <w:t xml:space="preserve"> Income and Poverty among the Older People in the New Member States: A Cross-Comparative Analysis. In J. C. </w:t>
      </w:r>
      <w:proofErr w:type="spellStart"/>
      <w:r w:rsidRPr="002C30D6">
        <w:rPr>
          <w:rFonts w:eastAsia="PalladioLOT-Roman" w:cs="PalladioLOT-Roman"/>
          <w:color w:val="auto"/>
          <w:sz w:val="24"/>
          <w:szCs w:val="24"/>
          <w:lang w:val="en-GB"/>
        </w:rPr>
        <w:t>Vrooman</w:t>
      </w:r>
      <w:proofErr w:type="spellEnd"/>
      <w:r w:rsidRPr="002C30D6">
        <w:rPr>
          <w:rFonts w:eastAsia="PalladioLOT-Roman" w:cs="PalladioLOT-Roman"/>
          <w:color w:val="auto"/>
          <w:sz w:val="24"/>
          <w:szCs w:val="24"/>
          <w:lang w:val="en-GB"/>
        </w:rPr>
        <w:t xml:space="preserve"> (ed.), </w:t>
      </w:r>
      <w:r w:rsidRPr="002C30D6">
        <w:rPr>
          <w:rFonts w:eastAsia="PalladioLOT-Italic" w:cs="PalladioLOT-Italic"/>
          <w:i/>
          <w:iCs/>
          <w:color w:val="auto"/>
          <w:sz w:val="24"/>
          <w:szCs w:val="24"/>
          <w:lang w:val="en-GB"/>
        </w:rPr>
        <w:t>The Elderly Poor in the EU‘s New Member States</w:t>
      </w:r>
      <w:r w:rsidRPr="002C30D6">
        <w:rPr>
          <w:rFonts w:eastAsia="PalladioLOT-Roman" w:cs="PalladioLOT-Roman"/>
          <w:color w:val="auto"/>
          <w:sz w:val="24"/>
          <w:szCs w:val="24"/>
          <w:lang w:val="en-GB"/>
        </w:rPr>
        <w:t xml:space="preserve"> (pp. 3–43). Brussels: European Network of European Policy Research Institutes.</w:t>
      </w:r>
    </w:p>
    <w:p w:rsidR="00F22564" w:rsidRPr="002C30D6" w:rsidRDefault="00F22564" w:rsidP="00F22564">
      <w:pPr>
        <w:autoSpaceDE w:val="0"/>
        <w:autoSpaceDN w:val="0"/>
        <w:adjustRightInd w:val="0"/>
        <w:spacing w:after="120"/>
        <w:rPr>
          <w:rFonts w:eastAsia="PalladioLOT-Roman" w:cs="PalladioLOT-Roman"/>
          <w:color w:val="auto"/>
          <w:sz w:val="24"/>
          <w:szCs w:val="24"/>
          <w:lang w:val="en-GB"/>
        </w:rPr>
      </w:pPr>
      <w:proofErr w:type="spellStart"/>
      <w:proofErr w:type="gramStart"/>
      <w:r w:rsidRPr="002C30D6">
        <w:rPr>
          <w:rFonts w:eastAsia="PalladioLOT-Roman" w:cs="PalladioLOT-Roman"/>
          <w:color w:val="auto"/>
          <w:sz w:val="24"/>
          <w:szCs w:val="24"/>
          <w:lang w:val="en-GB"/>
        </w:rPr>
        <w:t>Stropnik</w:t>
      </w:r>
      <w:proofErr w:type="spellEnd"/>
      <w:r w:rsidRPr="002C30D6">
        <w:rPr>
          <w:rFonts w:eastAsia="PalladioLOT-Roman" w:cs="PalladioLOT-Roman"/>
          <w:color w:val="auto"/>
          <w:sz w:val="24"/>
          <w:szCs w:val="24"/>
          <w:lang w:val="en-GB"/>
        </w:rPr>
        <w:t xml:space="preserve">, N., N. </w:t>
      </w:r>
      <w:proofErr w:type="spellStart"/>
      <w:r w:rsidRPr="002C30D6">
        <w:rPr>
          <w:rFonts w:eastAsia="PalladioLOT-Roman" w:cs="PalladioLOT-Roman"/>
          <w:color w:val="auto"/>
          <w:sz w:val="24"/>
          <w:szCs w:val="24"/>
          <w:lang w:val="en-GB"/>
        </w:rPr>
        <w:t>Kump</w:t>
      </w:r>
      <w:proofErr w:type="spellEnd"/>
      <w:r w:rsidRPr="002C30D6">
        <w:rPr>
          <w:rFonts w:eastAsia="PalladioLOT-Roman" w:cs="PalladioLOT-Roman"/>
          <w:color w:val="auto"/>
          <w:sz w:val="24"/>
          <w:szCs w:val="24"/>
          <w:lang w:val="en-GB"/>
        </w:rPr>
        <w:t xml:space="preserve">, M. </w:t>
      </w:r>
      <w:proofErr w:type="spellStart"/>
      <w:r w:rsidRPr="002C30D6">
        <w:rPr>
          <w:rFonts w:eastAsia="PalladioLOT-Roman" w:cs="PalladioLOT-Roman"/>
          <w:color w:val="auto"/>
          <w:sz w:val="24"/>
          <w:szCs w:val="24"/>
          <w:lang w:val="en-GB"/>
        </w:rPr>
        <w:t>Filipovič</w:t>
      </w:r>
      <w:proofErr w:type="spellEnd"/>
      <w:r w:rsidRPr="002C30D6">
        <w:rPr>
          <w:rFonts w:eastAsia="PalladioLOT-Roman" w:cs="PalladioLOT-Roman"/>
          <w:color w:val="auto"/>
          <w:sz w:val="24"/>
          <w:szCs w:val="24"/>
          <w:lang w:val="en-GB"/>
        </w:rPr>
        <w:t xml:space="preserve"> </w:t>
      </w:r>
      <w:proofErr w:type="spellStart"/>
      <w:r w:rsidRPr="002C30D6">
        <w:rPr>
          <w:rFonts w:eastAsia="PalladioLOT-Roman" w:cs="PalladioLOT-Roman"/>
          <w:color w:val="auto"/>
          <w:sz w:val="24"/>
          <w:szCs w:val="24"/>
          <w:lang w:val="en-GB"/>
        </w:rPr>
        <w:t>Hrast</w:t>
      </w:r>
      <w:proofErr w:type="spellEnd"/>
      <w:r w:rsidRPr="002C30D6">
        <w:rPr>
          <w:rFonts w:eastAsia="PalladioLOT-Roman" w:cs="PalladioLOT-Roman"/>
          <w:color w:val="auto"/>
          <w:sz w:val="24"/>
          <w:szCs w:val="24"/>
          <w:lang w:val="en-GB"/>
        </w:rPr>
        <w:t xml:space="preserve">, V. </w:t>
      </w:r>
      <w:proofErr w:type="spellStart"/>
      <w:r w:rsidRPr="002C30D6">
        <w:rPr>
          <w:rFonts w:eastAsia="PalladioLOT-Roman" w:cs="PalladioLOT-Roman"/>
          <w:color w:val="auto"/>
          <w:sz w:val="24"/>
          <w:szCs w:val="24"/>
          <w:lang w:val="en-GB"/>
        </w:rPr>
        <w:t>Hlebec</w:t>
      </w:r>
      <w:proofErr w:type="spellEnd"/>
      <w:r w:rsidRPr="002C30D6">
        <w:rPr>
          <w:rFonts w:eastAsia="PalladioLOT-Roman" w:cs="PalladioLOT-Roman"/>
          <w:color w:val="auto"/>
          <w:sz w:val="24"/>
          <w:szCs w:val="24"/>
          <w:lang w:val="en-GB"/>
        </w:rPr>
        <w:t xml:space="preserve">, A. </w:t>
      </w:r>
      <w:proofErr w:type="spellStart"/>
      <w:r w:rsidRPr="002C30D6">
        <w:rPr>
          <w:rFonts w:eastAsia="PalladioLOT-Roman" w:cs="PalladioLOT-Roman"/>
          <w:color w:val="auto"/>
          <w:sz w:val="24"/>
          <w:szCs w:val="24"/>
          <w:lang w:val="en-GB"/>
        </w:rPr>
        <w:t>Vezovnik</w:t>
      </w:r>
      <w:proofErr w:type="spellEnd"/>
      <w:r w:rsidRPr="002C30D6">
        <w:rPr>
          <w:rFonts w:eastAsia="PalladioLOT-Roman" w:cs="PalladioLOT-Roman"/>
          <w:color w:val="auto"/>
          <w:sz w:val="24"/>
          <w:szCs w:val="24"/>
          <w:lang w:val="en-GB"/>
        </w:rPr>
        <w:t xml:space="preserve">, and M. </w:t>
      </w:r>
      <w:proofErr w:type="spellStart"/>
      <w:r w:rsidRPr="002C30D6">
        <w:rPr>
          <w:rFonts w:eastAsia="PalladioLOT-Roman" w:cs="PalladioLOT-Roman"/>
          <w:color w:val="auto"/>
          <w:sz w:val="24"/>
          <w:szCs w:val="24"/>
          <w:lang w:val="en-GB"/>
        </w:rPr>
        <w:t>Kavčič</w:t>
      </w:r>
      <w:proofErr w:type="spellEnd"/>
      <w:r w:rsidRPr="002C30D6">
        <w:rPr>
          <w:rFonts w:eastAsia="PalladioLOT-Roman" w:cs="PalladioLOT-Roman"/>
          <w:color w:val="auto"/>
          <w:sz w:val="24"/>
          <w:szCs w:val="24"/>
          <w:lang w:val="en-GB"/>
        </w:rPr>
        <w:t xml:space="preserve"> (2010).</w:t>
      </w:r>
      <w:proofErr w:type="gramEnd"/>
      <w:r w:rsidRPr="002C30D6">
        <w:rPr>
          <w:rFonts w:eastAsia="PalladioLOT-Roman" w:cs="PalladioLOT-Roman"/>
          <w:color w:val="auto"/>
          <w:sz w:val="24"/>
          <w:szCs w:val="24"/>
          <w:lang w:val="en-GB"/>
        </w:rPr>
        <w:t xml:space="preserve"> </w:t>
      </w:r>
      <w:proofErr w:type="gramStart"/>
      <w:r w:rsidRPr="002C30D6">
        <w:rPr>
          <w:rFonts w:eastAsia="PalladioLOT-Roman" w:cs="PalladioLOT-Roman"/>
          <w:color w:val="auto"/>
          <w:sz w:val="24"/>
          <w:szCs w:val="24"/>
          <w:lang w:val="en-GB"/>
        </w:rPr>
        <w:t>Poverty and Material Deprivation of the Elderly.</w:t>
      </w:r>
      <w:proofErr w:type="gramEnd"/>
      <w:r w:rsidRPr="002C30D6">
        <w:rPr>
          <w:rFonts w:eastAsia="PalladioLOT-Roman" w:cs="PalladioLOT-Roman"/>
          <w:color w:val="auto"/>
          <w:sz w:val="24"/>
          <w:szCs w:val="24"/>
          <w:lang w:val="en-GB"/>
        </w:rPr>
        <w:t xml:space="preserve"> (Project carried out within CRP competitiveness of Slovenia) Ljubljana: </w:t>
      </w:r>
      <w:proofErr w:type="spellStart"/>
      <w:r w:rsidRPr="002C30D6">
        <w:rPr>
          <w:rFonts w:eastAsia="PalladioLOT-Roman" w:cs="PalladioLOT-Roman"/>
          <w:color w:val="auto"/>
          <w:sz w:val="24"/>
          <w:szCs w:val="24"/>
          <w:lang w:val="en-GB"/>
        </w:rPr>
        <w:t>Inštitut</w:t>
      </w:r>
      <w:proofErr w:type="spellEnd"/>
      <w:r w:rsidRPr="002C30D6">
        <w:rPr>
          <w:rFonts w:eastAsia="PalladioLOT-Roman" w:cs="PalladioLOT-Roman"/>
          <w:color w:val="auto"/>
          <w:sz w:val="24"/>
          <w:szCs w:val="24"/>
          <w:lang w:val="en-GB"/>
        </w:rPr>
        <w:t xml:space="preserve"> </w:t>
      </w:r>
      <w:proofErr w:type="spellStart"/>
      <w:r w:rsidRPr="002C30D6">
        <w:rPr>
          <w:rFonts w:eastAsia="PalladioLOT-Roman" w:cs="PalladioLOT-Roman"/>
          <w:color w:val="auto"/>
          <w:sz w:val="24"/>
          <w:szCs w:val="24"/>
          <w:lang w:val="en-GB"/>
        </w:rPr>
        <w:t>za</w:t>
      </w:r>
      <w:proofErr w:type="spellEnd"/>
      <w:r w:rsidRPr="002C30D6">
        <w:rPr>
          <w:rFonts w:eastAsia="PalladioLOT-Roman" w:cs="PalladioLOT-Roman"/>
          <w:color w:val="auto"/>
          <w:sz w:val="24"/>
          <w:szCs w:val="24"/>
          <w:lang w:val="en-GB"/>
        </w:rPr>
        <w:t xml:space="preserve"> </w:t>
      </w:r>
      <w:proofErr w:type="spellStart"/>
      <w:r w:rsidRPr="002C30D6">
        <w:rPr>
          <w:rFonts w:eastAsia="PalladioLOT-Roman" w:cs="PalladioLOT-Roman"/>
          <w:color w:val="auto"/>
          <w:sz w:val="24"/>
          <w:szCs w:val="24"/>
          <w:lang w:val="en-GB"/>
        </w:rPr>
        <w:t>ekonomska</w:t>
      </w:r>
      <w:proofErr w:type="spellEnd"/>
      <w:r w:rsidRPr="002C30D6">
        <w:rPr>
          <w:rFonts w:eastAsia="PalladioLOT-Roman" w:cs="PalladioLOT-Roman"/>
          <w:color w:val="auto"/>
          <w:sz w:val="24"/>
          <w:szCs w:val="24"/>
          <w:lang w:val="en-GB"/>
        </w:rPr>
        <w:t xml:space="preserve"> </w:t>
      </w:r>
      <w:proofErr w:type="spellStart"/>
      <w:r w:rsidRPr="002C30D6">
        <w:rPr>
          <w:rFonts w:eastAsia="PalladioLOT-Roman" w:cs="PalladioLOT-Roman"/>
          <w:color w:val="auto"/>
          <w:sz w:val="24"/>
          <w:szCs w:val="24"/>
          <w:lang w:val="en-GB"/>
        </w:rPr>
        <w:t>raziskovanja</w:t>
      </w:r>
      <w:proofErr w:type="spellEnd"/>
      <w:r w:rsidRPr="002C30D6">
        <w:rPr>
          <w:rFonts w:eastAsia="PalladioLOT-Roman" w:cs="PalladioLOT-Roman"/>
          <w:color w:val="auto"/>
          <w:sz w:val="24"/>
          <w:szCs w:val="24"/>
          <w:lang w:val="en-GB"/>
        </w:rPr>
        <w:t>. Available at:  (http://www.mddsz.gov.si/fileadmin/mddsz.gov.si/pageuploads/dokumenti__pdf/revscina_IER.pdf).</w:t>
      </w:r>
    </w:p>
    <w:p w:rsidR="00F22564" w:rsidRPr="002C30D6" w:rsidRDefault="00F22564" w:rsidP="00F22564">
      <w:pPr>
        <w:autoSpaceDE w:val="0"/>
        <w:autoSpaceDN w:val="0"/>
        <w:adjustRightInd w:val="0"/>
        <w:spacing w:after="120"/>
        <w:rPr>
          <w:rFonts w:eastAsia="PalladioLOT-Roman" w:cs="PalladioLOT-Roman"/>
          <w:color w:val="auto"/>
          <w:sz w:val="24"/>
          <w:szCs w:val="24"/>
          <w:lang w:val="en-GB"/>
        </w:rPr>
      </w:pPr>
      <w:proofErr w:type="gramStart"/>
      <w:r w:rsidRPr="002C30D6">
        <w:rPr>
          <w:rFonts w:eastAsia="PalladioLOT-Roman" w:cs="PalladioLOT-Roman"/>
          <w:color w:val="auto"/>
          <w:sz w:val="24"/>
          <w:szCs w:val="24"/>
          <w:lang w:val="en-GB"/>
        </w:rPr>
        <w:t>SURS (2017).</w:t>
      </w:r>
      <w:proofErr w:type="gramEnd"/>
      <w:r w:rsidRPr="002C30D6">
        <w:rPr>
          <w:rFonts w:eastAsia="PalladioLOT-Roman" w:cs="PalladioLOT-Roman"/>
          <w:color w:val="auto"/>
          <w:sz w:val="24"/>
          <w:szCs w:val="24"/>
          <w:lang w:val="en-GB"/>
        </w:rPr>
        <w:t xml:space="preserve"> </w:t>
      </w:r>
      <w:proofErr w:type="spellStart"/>
      <w:proofErr w:type="gramStart"/>
      <w:r w:rsidRPr="002C30D6">
        <w:rPr>
          <w:rFonts w:eastAsia="PalladioLOT-Roman" w:cs="PalladioLOT-Roman"/>
          <w:color w:val="auto"/>
          <w:sz w:val="24"/>
          <w:szCs w:val="24"/>
          <w:lang w:val="en-GB"/>
        </w:rPr>
        <w:t>Regije</w:t>
      </w:r>
      <w:proofErr w:type="spellEnd"/>
      <w:r w:rsidRPr="002C30D6">
        <w:rPr>
          <w:rFonts w:eastAsia="PalladioLOT-Roman" w:cs="PalladioLOT-Roman"/>
          <w:color w:val="auto"/>
          <w:sz w:val="24"/>
          <w:szCs w:val="24"/>
          <w:lang w:val="en-GB"/>
        </w:rPr>
        <w:t xml:space="preserve"> v </w:t>
      </w:r>
      <w:proofErr w:type="spellStart"/>
      <w:r w:rsidRPr="002C30D6">
        <w:rPr>
          <w:rFonts w:eastAsia="PalladioLOT-Roman" w:cs="PalladioLOT-Roman"/>
          <w:color w:val="auto"/>
          <w:sz w:val="24"/>
          <w:szCs w:val="24"/>
          <w:lang w:val="en-GB"/>
        </w:rPr>
        <w:t>številkah</w:t>
      </w:r>
      <w:proofErr w:type="spellEnd"/>
      <w:r w:rsidRPr="002C30D6">
        <w:rPr>
          <w:rFonts w:eastAsia="PalladioLOT-Roman" w:cs="PalladioLOT-Roman"/>
          <w:color w:val="auto"/>
          <w:sz w:val="24"/>
          <w:szCs w:val="24"/>
          <w:lang w:val="en-GB"/>
        </w:rPr>
        <w:t>.</w:t>
      </w:r>
      <w:proofErr w:type="gramEnd"/>
      <w:r w:rsidRPr="002C30D6">
        <w:rPr>
          <w:rFonts w:eastAsia="PalladioLOT-Roman" w:cs="PalladioLOT-Roman"/>
          <w:color w:val="auto"/>
          <w:sz w:val="24"/>
          <w:szCs w:val="24"/>
          <w:lang w:val="en-GB"/>
        </w:rPr>
        <w:t xml:space="preserve"> </w:t>
      </w:r>
      <w:proofErr w:type="spellStart"/>
      <w:proofErr w:type="gramStart"/>
      <w:r w:rsidRPr="002C30D6">
        <w:rPr>
          <w:rFonts w:eastAsia="PalladioLOT-Roman" w:cs="PalladioLOT-Roman"/>
          <w:color w:val="auto"/>
          <w:sz w:val="24"/>
          <w:szCs w:val="24"/>
          <w:lang w:val="en-GB"/>
        </w:rPr>
        <w:t>Statistični</w:t>
      </w:r>
      <w:proofErr w:type="spellEnd"/>
      <w:r w:rsidRPr="002C30D6">
        <w:rPr>
          <w:rFonts w:eastAsia="PalladioLOT-Roman" w:cs="PalladioLOT-Roman"/>
          <w:color w:val="auto"/>
          <w:sz w:val="24"/>
          <w:szCs w:val="24"/>
          <w:lang w:val="en-GB"/>
        </w:rPr>
        <w:t xml:space="preserve"> </w:t>
      </w:r>
      <w:proofErr w:type="spellStart"/>
      <w:r w:rsidRPr="002C30D6">
        <w:rPr>
          <w:rFonts w:eastAsia="PalladioLOT-Roman" w:cs="PalladioLOT-Roman"/>
          <w:color w:val="auto"/>
          <w:sz w:val="24"/>
          <w:szCs w:val="24"/>
          <w:lang w:val="en-GB"/>
        </w:rPr>
        <w:t>portret</w:t>
      </w:r>
      <w:proofErr w:type="spellEnd"/>
      <w:r w:rsidRPr="002C30D6">
        <w:rPr>
          <w:rFonts w:eastAsia="PalladioLOT-Roman" w:cs="PalladioLOT-Roman"/>
          <w:color w:val="auto"/>
          <w:sz w:val="24"/>
          <w:szCs w:val="24"/>
          <w:lang w:val="en-GB"/>
        </w:rPr>
        <w:t xml:space="preserve"> </w:t>
      </w:r>
      <w:proofErr w:type="spellStart"/>
      <w:r w:rsidRPr="002C30D6">
        <w:rPr>
          <w:rFonts w:eastAsia="PalladioLOT-Roman" w:cs="PalladioLOT-Roman"/>
          <w:color w:val="auto"/>
          <w:sz w:val="24"/>
          <w:szCs w:val="24"/>
          <w:lang w:val="en-GB"/>
        </w:rPr>
        <w:t>slovenskih</w:t>
      </w:r>
      <w:proofErr w:type="spellEnd"/>
      <w:r w:rsidRPr="002C30D6">
        <w:rPr>
          <w:rFonts w:eastAsia="PalladioLOT-Roman" w:cs="PalladioLOT-Roman"/>
          <w:color w:val="auto"/>
          <w:sz w:val="24"/>
          <w:szCs w:val="24"/>
          <w:lang w:val="en-GB"/>
        </w:rPr>
        <w:t xml:space="preserve"> </w:t>
      </w:r>
      <w:proofErr w:type="spellStart"/>
      <w:r w:rsidRPr="002C30D6">
        <w:rPr>
          <w:rFonts w:eastAsia="PalladioLOT-Roman" w:cs="PalladioLOT-Roman"/>
          <w:color w:val="auto"/>
          <w:sz w:val="24"/>
          <w:szCs w:val="24"/>
          <w:lang w:val="en-GB"/>
        </w:rPr>
        <w:t>regij</w:t>
      </w:r>
      <w:proofErr w:type="spellEnd"/>
      <w:r w:rsidRPr="002C30D6">
        <w:rPr>
          <w:rFonts w:eastAsia="PalladioLOT-Roman" w:cs="PalladioLOT-Roman"/>
          <w:color w:val="auto"/>
          <w:sz w:val="24"/>
          <w:szCs w:val="24"/>
          <w:lang w:val="en-GB"/>
        </w:rPr>
        <w:t>.</w:t>
      </w:r>
      <w:proofErr w:type="gramEnd"/>
      <w:r w:rsidRPr="002C30D6">
        <w:rPr>
          <w:rFonts w:eastAsia="PalladioLOT-Roman" w:cs="PalladioLOT-Roman"/>
          <w:color w:val="auto"/>
          <w:sz w:val="24"/>
          <w:szCs w:val="24"/>
          <w:lang w:val="en-GB"/>
        </w:rPr>
        <w:t xml:space="preserve"> Available at: 2017http://www.stat.si/StatWeb/File/DocSysFile/9374/regije_v_stevilkah_2017.pdf</w:t>
      </w:r>
    </w:p>
    <w:p w:rsidR="00F22564" w:rsidRPr="002C30D6" w:rsidRDefault="00F22564" w:rsidP="00F22564">
      <w:pPr>
        <w:autoSpaceDE w:val="0"/>
        <w:autoSpaceDN w:val="0"/>
        <w:adjustRightInd w:val="0"/>
        <w:spacing w:after="120"/>
        <w:rPr>
          <w:rFonts w:eastAsia="PalladioLOT-Roman" w:cs="PalladioLOT-Roman"/>
          <w:color w:val="auto"/>
          <w:sz w:val="24"/>
          <w:szCs w:val="24"/>
          <w:lang w:val="en-GB"/>
        </w:rPr>
      </w:pPr>
      <w:proofErr w:type="gramStart"/>
      <w:r w:rsidRPr="002C30D6">
        <w:rPr>
          <w:rFonts w:eastAsia="PalladioLOT-Roman" w:cs="PalladioLOT-Roman"/>
          <w:color w:val="auto"/>
          <w:sz w:val="24"/>
          <w:szCs w:val="24"/>
          <w:lang w:val="en-GB"/>
        </w:rPr>
        <w:t>SURS (2018).</w:t>
      </w:r>
      <w:proofErr w:type="gramEnd"/>
      <w:r w:rsidRPr="002C30D6">
        <w:rPr>
          <w:rFonts w:eastAsia="PalladioLOT-Roman" w:cs="PalladioLOT-Roman"/>
          <w:color w:val="auto"/>
          <w:sz w:val="24"/>
          <w:szCs w:val="24"/>
          <w:lang w:val="en-GB"/>
        </w:rPr>
        <w:t xml:space="preserve"> National database available at: </w:t>
      </w:r>
      <w:hyperlink r:id="rId13" w:history="1">
        <w:r w:rsidR="002406DE" w:rsidRPr="002C30D6">
          <w:rPr>
            <w:rStyle w:val="Hyperlink"/>
            <w:rFonts w:eastAsia="PalladioLOT-Roman" w:cs="PalladioLOT-Roman"/>
            <w:sz w:val="24"/>
            <w:szCs w:val="24"/>
            <w:lang w:val="en-GB"/>
          </w:rPr>
          <w:t>http://www.stat.si/statweb</w:t>
        </w:r>
      </w:hyperlink>
    </w:p>
    <w:p w:rsidR="002406DE" w:rsidRPr="002C30D6" w:rsidRDefault="002406DE" w:rsidP="002406DE">
      <w:pPr>
        <w:autoSpaceDE w:val="0"/>
        <w:autoSpaceDN w:val="0"/>
        <w:adjustRightInd w:val="0"/>
        <w:spacing w:after="120"/>
        <w:rPr>
          <w:rFonts w:eastAsia="PalladioLOT-Roman" w:cs="PalladioLOT-Roman"/>
          <w:color w:val="auto"/>
          <w:sz w:val="24"/>
          <w:szCs w:val="24"/>
          <w:lang w:val="en-GB"/>
        </w:rPr>
      </w:pPr>
      <w:proofErr w:type="spellStart"/>
      <w:proofErr w:type="gramStart"/>
      <w:r w:rsidRPr="002C30D6">
        <w:rPr>
          <w:rFonts w:eastAsia="PalladioLOT-Roman" w:cs="PalladioLOT-Roman"/>
          <w:color w:val="auto"/>
          <w:sz w:val="24"/>
          <w:szCs w:val="24"/>
          <w:lang w:val="en-GB"/>
        </w:rPr>
        <w:t>Tett</w:t>
      </w:r>
      <w:proofErr w:type="spellEnd"/>
      <w:r w:rsidRPr="002C30D6">
        <w:rPr>
          <w:rFonts w:eastAsia="PalladioLOT-Roman" w:cs="PalladioLOT-Roman"/>
          <w:color w:val="auto"/>
          <w:sz w:val="24"/>
          <w:szCs w:val="24"/>
          <w:lang w:val="en-GB"/>
        </w:rPr>
        <w:t xml:space="preserve">, L., and K. </w:t>
      </w:r>
      <w:proofErr w:type="spellStart"/>
      <w:r w:rsidRPr="002C30D6">
        <w:rPr>
          <w:rFonts w:eastAsia="PalladioLOT-Roman" w:cs="PalladioLOT-Roman"/>
          <w:color w:val="auto"/>
          <w:sz w:val="24"/>
          <w:szCs w:val="24"/>
          <w:lang w:val="en-GB"/>
        </w:rPr>
        <w:t>Maclachlan</w:t>
      </w:r>
      <w:proofErr w:type="spellEnd"/>
      <w:r w:rsidRPr="002C30D6">
        <w:rPr>
          <w:rFonts w:eastAsia="PalladioLOT-Roman" w:cs="PalladioLOT-Roman"/>
          <w:color w:val="auto"/>
          <w:sz w:val="24"/>
          <w:szCs w:val="24"/>
          <w:lang w:val="en-GB"/>
        </w:rPr>
        <w:t xml:space="preserve"> (2007).</w:t>
      </w:r>
      <w:proofErr w:type="gramEnd"/>
      <w:r w:rsidRPr="002C30D6">
        <w:rPr>
          <w:rFonts w:eastAsia="PalladioLOT-Roman" w:cs="PalladioLOT-Roman"/>
          <w:color w:val="auto"/>
          <w:sz w:val="24"/>
          <w:szCs w:val="24"/>
          <w:lang w:val="en-GB"/>
        </w:rPr>
        <w:t xml:space="preserve"> Adult literacy and numeracy, social capital, </w:t>
      </w:r>
      <w:proofErr w:type="gramStart"/>
      <w:r w:rsidRPr="002C30D6">
        <w:rPr>
          <w:rFonts w:eastAsia="PalladioLOT-Roman" w:cs="PalladioLOT-Roman"/>
          <w:color w:val="auto"/>
          <w:sz w:val="24"/>
          <w:szCs w:val="24"/>
          <w:lang w:val="en-GB"/>
        </w:rPr>
        <w:t>learners</w:t>
      </w:r>
      <w:proofErr w:type="gramEnd"/>
      <w:r w:rsidRPr="002C30D6">
        <w:rPr>
          <w:rFonts w:eastAsia="PalladioLOT-Roman" w:cs="PalladioLOT-Roman"/>
          <w:color w:val="auto"/>
          <w:sz w:val="24"/>
          <w:szCs w:val="24"/>
          <w:lang w:val="en-GB"/>
        </w:rPr>
        <w:t xml:space="preserve"> identities and self-confidence. </w:t>
      </w:r>
      <w:proofErr w:type="gramStart"/>
      <w:r w:rsidRPr="002C30D6">
        <w:rPr>
          <w:rFonts w:eastAsia="PalladioLOT-Roman" w:cs="PalladioLOT-Roman"/>
          <w:i/>
          <w:color w:val="auto"/>
          <w:sz w:val="24"/>
          <w:szCs w:val="24"/>
          <w:lang w:val="en-GB"/>
        </w:rPr>
        <w:t>Studies in the Education of Adults</w:t>
      </w:r>
      <w:r w:rsidRPr="002C30D6">
        <w:rPr>
          <w:rFonts w:eastAsia="PalladioLOT-Roman" w:cs="PalladioLOT-Roman"/>
          <w:color w:val="auto"/>
          <w:sz w:val="24"/>
          <w:szCs w:val="24"/>
          <w:lang w:val="en-GB"/>
        </w:rPr>
        <w:t>, 39, 173–167.</w:t>
      </w:r>
      <w:proofErr w:type="gramEnd"/>
    </w:p>
    <w:p w:rsidR="00F22564" w:rsidRPr="002C30D6" w:rsidRDefault="00F22564" w:rsidP="00F22564">
      <w:pPr>
        <w:spacing w:after="120"/>
        <w:rPr>
          <w:rFonts w:cs="TisaSansPro"/>
          <w:color w:val="auto"/>
          <w:sz w:val="24"/>
          <w:szCs w:val="24"/>
          <w:lang w:val="en-GB"/>
        </w:rPr>
      </w:pPr>
      <w:proofErr w:type="gramStart"/>
      <w:r w:rsidRPr="002C30D6">
        <w:rPr>
          <w:rFonts w:cs="TisaSansPro"/>
          <w:color w:val="auto"/>
          <w:sz w:val="24"/>
          <w:szCs w:val="24"/>
          <w:lang w:val="en-GB"/>
        </w:rPr>
        <w:t>UNECE &amp; EU (2014).</w:t>
      </w:r>
      <w:proofErr w:type="gramEnd"/>
      <w:r w:rsidRPr="002C30D6">
        <w:rPr>
          <w:rFonts w:cs="TisaSansPro"/>
          <w:color w:val="auto"/>
          <w:sz w:val="24"/>
          <w:szCs w:val="24"/>
          <w:lang w:val="en-GB"/>
        </w:rPr>
        <w:t xml:space="preserve"> </w:t>
      </w:r>
      <w:proofErr w:type="gramStart"/>
      <w:r w:rsidRPr="002C30D6">
        <w:rPr>
          <w:rFonts w:cs="TisaSansPro"/>
          <w:i/>
          <w:color w:val="auto"/>
          <w:sz w:val="24"/>
          <w:szCs w:val="24"/>
          <w:lang w:val="en-GB"/>
        </w:rPr>
        <w:t>Active Ageing Index for 28 European Union Countries</w:t>
      </w:r>
      <w:r w:rsidRPr="002C30D6">
        <w:rPr>
          <w:rFonts w:cs="TisaSansPro"/>
          <w:color w:val="auto"/>
          <w:sz w:val="24"/>
          <w:szCs w:val="24"/>
          <w:lang w:val="en-GB"/>
        </w:rPr>
        <w:t>.</w:t>
      </w:r>
      <w:proofErr w:type="gramEnd"/>
      <w:r w:rsidRPr="002C30D6">
        <w:rPr>
          <w:rFonts w:cs="TisaSansPro"/>
          <w:color w:val="auto"/>
          <w:sz w:val="24"/>
          <w:szCs w:val="24"/>
          <w:lang w:val="en-GB"/>
        </w:rPr>
        <w:t xml:space="preserve"> Available at: https://www.unece.org/fileadmin/DAM/pau/age/WG7/Documents/Policy_Brief_AAI_for_EG_v2.pdf</w:t>
      </w:r>
    </w:p>
    <w:p w:rsidR="00F22564" w:rsidRPr="002C30D6" w:rsidRDefault="00F22564" w:rsidP="00F22564">
      <w:pPr>
        <w:spacing w:after="120"/>
        <w:rPr>
          <w:rFonts w:cs="TisaSansPro"/>
          <w:color w:val="auto"/>
          <w:sz w:val="24"/>
          <w:szCs w:val="24"/>
          <w:lang w:val="en-GB"/>
        </w:rPr>
      </w:pPr>
      <w:proofErr w:type="spellStart"/>
      <w:r w:rsidRPr="002C30D6">
        <w:rPr>
          <w:rFonts w:cs="TisaSansPro"/>
          <w:color w:val="auto"/>
          <w:sz w:val="24"/>
          <w:szCs w:val="24"/>
          <w:lang w:val="en-GB"/>
        </w:rPr>
        <w:t>Voljč</w:t>
      </w:r>
      <w:proofErr w:type="spellEnd"/>
      <w:r w:rsidRPr="002C30D6">
        <w:rPr>
          <w:rFonts w:cs="TisaSansPro"/>
          <w:color w:val="auto"/>
          <w:sz w:val="24"/>
          <w:szCs w:val="24"/>
          <w:lang w:val="en-GB"/>
        </w:rPr>
        <w:t xml:space="preserve">, B. (ed.) (2016). </w:t>
      </w:r>
      <w:proofErr w:type="gramStart"/>
      <w:r w:rsidRPr="002C30D6">
        <w:rPr>
          <w:rFonts w:cs="TisaSansPro"/>
          <w:color w:val="auto"/>
          <w:sz w:val="24"/>
          <w:szCs w:val="24"/>
          <w:lang w:val="en-GB"/>
        </w:rPr>
        <w:t>Public health importance of falls in the elderly and preventive strategies in Slovenia.</w:t>
      </w:r>
      <w:proofErr w:type="gramEnd"/>
      <w:r w:rsidRPr="002C30D6">
        <w:rPr>
          <w:rFonts w:cs="TisaSansPro"/>
          <w:color w:val="auto"/>
          <w:sz w:val="24"/>
          <w:szCs w:val="24"/>
          <w:lang w:val="en-GB"/>
        </w:rPr>
        <w:t xml:space="preserve"> </w:t>
      </w:r>
      <w:proofErr w:type="spellStart"/>
      <w:proofErr w:type="gramStart"/>
      <w:r w:rsidRPr="002C30D6">
        <w:rPr>
          <w:rFonts w:cs="TisaSansPro"/>
          <w:color w:val="auto"/>
          <w:sz w:val="24"/>
          <w:szCs w:val="24"/>
          <w:lang w:val="en-GB"/>
        </w:rPr>
        <w:t>Emonicum</w:t>
      </w:r>
      <w:proofErr w:type="spellEnd"/>
      <w:r w:rsidRPr="002C30D6">
        <w:rPr>
          <w:rFonts w:cs="TisaSansPro"/>
          <w:color w:val="auto"/>
          <w:sz w:val="24"/>
          <w:szCs w:val="24"/>
          <w:lang w:val="en-GB"/>
        </w:rPr>
        <w:t xml:space="preserve"> Institute for Healthy and Active Life.</w:t>
      </w:r>
      <w:proofErr w:type="gramEnd"/>
      <w:r w:rsidRPr="002C30D6">
        <w:rPr>
          <w:rFonts w:cs="TisaSansPro"/>
          <w:color w:val="auto"/>
          <w:sz w:val="24"/>
          <w:szCs w:val="24"/>
          <w:lang w:val="en-GB"/>
        </w:rPr>
        <w:t xml:space="preserve"> Available at: </w:t>
      </w:r>
      <w:r w:rsidR="009100B1" w:rsidRPr="002C30D6">
        <w:rPr>
          <w:rFonts w:cs="TisaSansPro"/>
          <w:color w:val="auto"/>
          <w:sz w:val="24"/>
          <w:szCs w:val="24"/>
          <w:lang w:val="en-GB"/>
        </w:rPr>
        <w:t>http://www.staranje.si/sites/www.staranje.si/files/upload/images/analitsko_poro_ilo3-padci-ang_1.pdf</w:t>
      </w:r>
    </w:p>
    <w:p w:rsidR="009100B1" w:rsidRPr="002C30D6" w:rsidRDefault="009100B1" w:rsidP="009100B1">
      <w:pPr>
        <w:spacing w:after="120"/>
        <w:rPr>
          <w:rFonts w:cs="TisaSansPro"/>
          <w:color w:val="auto"/>
          <w:sz w:val="24"/>
          <w:szCs w:val="24"/>
          <w:lang w:val="en-GB"/>
        </w:rPr>
      </w:pPr>
      <w:proofErr w:type="gramStart"/>
      <w:r w:rsidRPr="002C30D6">
        <w:rPr>
          <w:rFonts w:cs="TisaSansPro"/>
          <w:color w:val="auto"/>
          <w:sz w:val="24"/>
          <w:szCs w:val="24"/>
          <w:lang w:val="en-GB"/>
        </w:rPr>
        <w:lastRenderedPageBreak/>
        <w:t>Williamson, T. (2011).</w:t>
      </w:r>
      <w:proofErr w:type="gramEnd"/>
      <w:r w:rsidRPr="002C30D6">
        <w:rPr>
          <w:rFonts w:cs="TisaSansPro"/>
          <w:color w:val="auto"/>
          <w:sz w:val="24"/>
          <w:szCs w:val="24"/>
          <w:lang w:val="en-GB"/>
        </w:rPr>
        <w:t xml:space="preserve"> </w:t>
      </w:r>
      <w:proofErr w:type="gramStart"/>
      <w:r w:rsidRPr="002C30D6">
        <w:rPr>
          <w:rFonts w:cs="TisaSansPro"/>
          <w:color w:val="auto"/>
          <w:sz w:val="24"/>
          <w:szCs w:val="24"/>
          <w:lang w:val="en-GB"/>
        </w:rPr>
        <w:t>Grouchy old men?</w:t>
      </w:r>
      <w:proofErr w:type="gramEnd"/>
      <w:r w:rsidRPr="002C30D6">
        <w:rPr>
          <w:rFonts w:cs="TisaSansPro"/>
          <w:color w:val="auto"/>
          <w:sz w:val="24"/>
          <w:szCs w:val="24"/>
          <w:lang w:val="en-GB"/>
        </w:rPr>
        <w:t xml:space="preserve"> Promoting older men‘s mental health and emotional wellbeing. </w:t>
      </w:r>
      <w:proofErr w:type="gramStart"/>
      <w:r w:rsidRPr="002C30D6">
        <w:rPr>
          <w:rFonts w:cs="TisaSansPro"/>
          <w:i/>
          <w:color w:val="auto"/>
          <w:sz w:val="24"/>
          <w:szCs w:val="24"/>
          <w:lang w:val="en-GB"/>
        </w:rPr>
        <w:t>Working with older people</w:t>
      </w:r>
      <w:r w:rsidRPr="002C30D6">
        <w:rPr>
          <w:rFonts w:cs="TisaSansPro"/>
          <w:color w:val="auto"/>
          <w:sz w:val="24"/>
          <w:szCs w:val="24"/>
          <w:lang w:val="en-GB"/>
        </w:rPr>
        <w:t>, 15, 64–76.</w:t>
      </w:r>
      <w:proofErr w:type="gramEnd"/>
    </w:p>
    <w:p w:rsidR="00F22564" w:rsidRPr="002C30D6" w:rsidRDefault="00F22564" w:rsidP="00F22564">
      <w:pPr>
        <w:spacing w:after="120"/>
        <w:rPr>
          <w:rFonts w:eastAsia="Times New Roman" w:cs="Arial"/>
          <w:color w:val="auto"/>
          <w:sz w:val="24"/>
          <w:szCs w:val="24"/>
          <w:lang w:val="en-GB" w:eastAsia="sl-SI"/>
        </w:rPr>
      </w:pPr>
      <w:r w:rsidRPr="002C30D6">
        <w:rPr>
          <w:rFonts w:eastAsia="Times New Roman" w:cs="Arial"/>
          <w:color w:val="auto"/>
          <w:sz w:val="24"/>
          <w:szCs w:val="24"/>
          <w:lang w:val="en-GB" w:eastAsia="sl-SI"/>
        </w:rPr>
        <w:t xml:space="preserve">Wolfgang L., A. </w:t>
      </w:r>
      <w:proofErr w:type="spellStart"/>
      <w:r w:rsidRPr="002C30D6">
        <w:rPr>
          <w:rFonts w:eastAsia="Times New Roman" w:cs="Arial"/>
          <w:color w:val="auto"/>
          <w:sz w:val="24"/>
          <w:szCs w:val="24"/>
          <w:lang w:val="en-GB" w:eastAsia="sl-SI"/>
        </w:rPr>
        <w:t>Goujon</w:t>
      </w:r>
      <w:proofErr w:type="spellEnd"/>
      <w:r w:rsidRPr="002C30D6">
        <w:rPr>
          <w:rFonts w:eastAsia="Times New Roman" w:cs="Arial"/>
          <w:color w:val="auto"/>
          <w:sz w:val="24"/>
          <w:szCs w:val="24"/>
          <w:lang w:val="en-GB" w:eastAsia="sl-SI"/>
        </w:rPr>
        <w:t xml:space="preserve">, S. KC, M. </w:t>
      </w:r>
      <w:proofErr w:type="spellStart"/>
      <w:r w:rsidRPr="002C30D6">
        <w:rPr>
          <w:rFonts w:eastAsia="Times New Roman" w:cs="Arial"/>
          <w:color w:val="auto"/>
          <w:sz w:val="24"/>
          <w:szCs w:val="24"/>
          <w:lang w:val="en-GB" w:eastAsia="sl-SI"/>
        </w:rPr>
        <w:t>Stonawski</w:t>
      </w:r>
      <w:proofErr w:type="spellEnd"/>
      <w:r w:rsidRPr="002C30D6">
        <w:rPr>
          <w:rFonts w:eastAsia="Times New Roman" w:cs="Arial"/>
          <w:color w:val="auto"/>
          <w:sz w:val="24"/>
          <w:szCs w:val="24"/>
          <w:lang w:val="en-GB" w:eastAsia="sl-SI"/>
        </w:rPr>
        <w:t xml:space="preserve">, and N. </w:t>
      </w:r>
      <w:proofErr w:type="spellStart"/>
      <w:r w:rsidRPr="002C30D6">
        <w:rPr>
          <w:rFonts w:eastAsia="Times New Roman" w:cs="Arial"/>
          <w:color w:val="auto"/>
          <w:sz w:val="24"/>
          <w:szCs w:val="24"/>
          <w:lang w:val="en-GB" w:eastAsia="sl-SI"/>
        </w:rPr>
        <w:t>Stilianakis</w:t>
      </w:r>
      <w:proofErr w:type="spellEnd"/>
      <w:r w:rsidRPr="002C30D6">
        <w:rPr>
          <w:rFonts w:eastAsia="Times New Roman" w:cs="Arial"/>
          <w:color w:val="auto"/>
          <w:sz w:val="24"/>
          <w:szCs w:val="24"/>
          <w:lang w:val="en-GB" w:eastAsia="sl-SI"/>
        </w:rPr>
        <w:t xml:space="preserve"> (Eds.) (2018). </w:t>
      </w:r>
      <w:proofErr w:type="gramStart"/>
      <w:r w:rsidRPr="002C30D6">
        <w:rPr>
          <w:rFonts w:eastAsia="Times New Roman" w:cs="Arial"/>
          <w:i/>
          <w:color w:val="auto"/>
          <w:sz w:val="24"/>
          <w:szCs w:val="24"/>
          <w:lang w:val="en-GB" w:eastAsia="sl-SI"/>
        </w:rPr>
        <w:t>Demographic and human capital scenarios for the 21st century.</w:t>
      </w:r>
      <w:proofErr w:type="gramEnd"/>
      <w:r w:rsidRPr="002C30D6">
        <w:rPr>
          <w:rFonts w:eastAsia="Times New Roman" w:cs="Arial"/>
          <w:i/>
          <w:color w:val="auto"/>
          <w:sz w:val="24"/>
          <w:szCs w:val="24"/>
          <w:lang w:val="en-GB" w:eastAsia="sl-SI"/>
        </w:rPr>
        <w:t xml:space="preserve"> </w:t>
      </w:r>
      <w:proofErr w:type="gramStart"/>
      <w:r w:rsidRPr="002C30D6">
        <w:rPr>
          <w:rFonts w:eastAsia="Times New Roman" w:cs="Arial"/>
          <w:i/>
          <w:color w:val="auto"/>
          <w:sz w:val="24"/>
          <w:szCs w:val="24"/>
          <w:lang w:val="en-GB" w:eastAsia="sl-SI"/>
        </w:rPr>
        <w:t>Assessment for 201 countries</w:t>
      </w:r>
      <w:r w:rsidRPr="002C30D6">
        <w:rPr>
          <w:rFonts w:eastAsia="Times New Roman" w:cs="Arial"/>
          <w:color w:val="auto"/>
          <w:sz w:val="24"/>
          <w:szCs w:val="24"/>
          <w:lang w:val="en-GB" w:eastAsia="sl-SI"/>
        </w:rPr>
        <w:t>.</w:t>
      </w:r>
      <w:proofErr w:type="gramEnd"/>
      <w:r w:rsidRPr="002C30D6">
        <w:rPr>
          <w:rFonts w:eastAsia="Times New Roman" w:cs="Arial"/>
          <w:color w:val="auto"/>
          <w:sz w:val="24"/>
          <w:szCs w:val="24"/>
          <w:lang w:val="en-GB" w:eastAsia="sl-SI"/>
        </w:rPr>
        <w:t xml:space="preserve"> Luxembourg: Publications Office of the European Union. Available at: https://ec.europa.eu/jrc/sites/jrcsh/files/lutz_et_al_2018_demographic_and_human_capital.pdf</w:t>
      </w:r>
    </w:p>
    <w:p w:rsidR="00275621" w:rsidRPr="002C30D6" w:rsidRDefault="00275621" w:rsidP="00101976">
      <w:pPr>
        <w:spacing w:after="120" w:line="276" w:lineRule="auto"/>
        <w:jc w:val="both"/>
        <w:rPr>
          <w:color w:val="auto"/>
          <w:sz w:val="24"/>
          <w:szCs w:val="24"/>
          <w:lang w:val="en-GB"/>
        </w:rPr>
      </w:pPr>
    </w:p>
    <w:sectPr w:rsidR="00275621" w:rsidRPr="002C30D6" w:rsidSect="007C789F">
      <w:footerReference w:type="default" r:id="rId14"/>
      <w:headerReference w:type="first" r:id="rId15"/>
      <w:pgSz w:w="11907" w:h="16839" w:code="9"/>
      <w:pgMar w:top="1276" w:right="1275" w:bottom="1134" w:left="1276" w:header="862"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C8" w:rsidRDefault="002F4AC8">
      <w:pPr>
        <w:spacing w:before="0" w:after="0"/>
      </w:pPr>
      <w:r>
        <w:separator/>
      </w:r>
    </w:p>
  </w:endnote>
  <w:endnote w:type="continuationSeparator" w:id="0">
    <w:p w:rsidR="002F4AC8" w:rsidRDefault="002F4A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PalladioLOT-Roman">
    <w:altName w:val="MS Mincho"/>
    <w:panose1 w:val="00000000000000000000"/>
    <w:charset w:val="80"/>
    <w:family w:val="auto"/>
    <w:notTrueType/>
    <w:pitch w:val="default"/>
    <w:sig w:usb0="00000001" w:usb1="08070000" w:usb2="00000010" w:usb3="00000000" w:csb0="00020000" w:csb1="00000000"/>
  </w:font>
  <w:font w:name="TisaSansPro">
    <w:altName w:val="Arial"/>
    <w:panose1 w:val="00000000000000000000"/>
    <w:charset w:val="EE"/>
    <w:family w:val="swiss"/>
    <w:notTrueType/>
    <w:pitch w:val="default"/>
    <w:sig w:usb0="00000001" w:usb1="00000000" w:usb2="00000000" w:usb3="00000000" w:csb0="00000003" w:csb1="00000000"/>
  </w:font>
  <w:font w:name="TisaPro">
    <w:panose1 w:val="00000000000000000000"/>
    <w:charset w:val="EE"/>
    <w:family w:val="roman"/>
    <w:notTrueType/>
    <w:pitch w:val="default"/>
    <w:sig w:usb0="00000005" w:usb1="00000000" w:usb2="00000000" w:usb3="00000000" w:csb0="00000002" w:csb1="00000000"/>
  </w:font>
  <w:font w:name="TisaPro-Bold">
    <w:panose1 w:val="00000000000000000000"/>
    <w:charset w:val="EE"/>
    <w:family w:val="roman"/>
    <w:notTrueType/>
    <w:pitch w:val="default"/>
    <w:sig w:usb0="00000005" w:usb1="00000000" w:usb2="00000000" w:usb3="00000000" w:csb0="00000002" w:csb1="00000000"/>
  </w:font>
  <w:font w:name="PalladioLOT-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BD" w:rsidRPr="00F22564" w:rsidRDefault="00782702">
    <w:pPr>
      <w:pStyle w:val="stopka"/>
      <w:rPr>
        <w:sz w:val="18"/>
        <w:szCs w:val="18"/>
      </w:rPr>
    </w:pPr>
    <w:r w:rsidRPr="00F22564">
      <w:rPr>
        <w:sz w:val="18"/>
        <w:szCs w:val="18"/>
      </w:rPr>
      <w:t>Page</w:t>
    </w:r>
    <w:r w:rsidR="00DC1270" w:rsidRPr="00F22564">
      <w:rPr>
        <w:sz w:val="18"/>
        <w:szCs w:val="18"/>
      </w:rPr>
      <w:t xml:space="preserve"> </w:t>
    </w:r>
    <w:r w:rsidR="00DC1270" w:rsidRPr="00F22564">
      <w:rPr>
        <w:sz w:val="18"/>
        <w:szCs w:val="18"/>
      </w:rPr>
      <w:fldChar w:fldCharType="begin"/>
    </w:r>
    <w:r w:rsidR="00DC1270" w:rsidRPr="00F22564">
      <w:rPr>
        <w:sz w:val="18"/>
        <w:szCs w:val="18"/>
      </w:rPr>
      <w:instrText>page</w:instrText>
    </w:r>
    <w:r w:rsidR="00DC1270" w:rsidRPr="00F22564">
      <w:rPr>
        <w:sz w:val="18"/>
        <w:szCs w:val="18"/>
      </w:rPr>
      <w:fldChar w:fldCharType="separate"/>
    </w:r>
    <w:r w:rsidR="00ED4EB5">
      <w:rPr>
        <w:noProof/>
        <w:sz w:val="18"/>
        <w:szCs w:val="18"/>
      </w:rPr>
      <w:t>10</w:t>
    </w:r>
    <w:r w:rsidR="00DC1270" w:rsidRPr="00F2256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C8" w:rsidRDefault="002F4AC8">
      <w:pPr>
        <w:spacing w:before="0" w:after="0"/>
      </w:pPr>
      <w:r>
        <w:separator/>
      </w:r>
    </w:p>
  </w:footnote>
  <w:footnote w:type="continuationSeparator" w:id="0">
    <w:p w:rsidR="002F4AC8" w:rsidRDefault="002F4AC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5663"/>
      <w:gridCol w:w="3909"/>
    </w:tblGrid>
    <w:tr w:rsidR="006072F1" w:rsidTr="006072F1">
      <w:tc>
        <w:tcPr>
          <w:tcW w:w="5000" w:type="pct"/>
          <w:gridSpan w:val="2"/>
          <w:vAlign w:val="bottom"/>
        </w:tcPr>
        <w:p w:rsidR="006072F1" w:rsidRDefault="006072F1" w:rsidP="00F83AB7">
          <w:pPr>
            <w:jc w:val="center"/>
            <w:rPr>
              <w:noProof/>
              <w:lang w:val="sl-SI" w:eastAsia="sl-SI"/>
            </w:rPr>
          </w:pPr>
          <w:r w:rsidRPr="00F83AB7">
            <w:rPr>
              <w:b/>
              <w:i/>
              <w:color w:val="0070C0"/>
              <w:sz w:val="28"/>
              <w:szCs w:val="28"/>
            </w:rPr>
            <w:t xml:space="preserve">Old </w:t>
          </w:r>
          <w:r w:rsidRPr="00F83AB7">
            <w:rPr>
              <w:b/>
              <w:i/>
              <w:color w:val="0070C0"/>
              <w:sz w:val="28"/>
              <w:szCs w:val="28"/>
            </w:rPr>
            <w:t>Guys Say Yes to Community</w:t>
          </w:r>
        </w:p>
      </w:tc>
    </w:tr>
    <w:tr w:rsidR="006072F1" w:rsidTr="00F83AB7">
      <w:tc>
        <w:tcPr>
          <w:tcW w:w="2958" w:type="pct"/>
          <w:vMerge w:val="restart"/>
          <w:vAlign w:val="bottom"/>
        </w:tcPr>
        <w:p w:rsidR="00782702" w:rsidRDefault="006072F1" w:rsidP="006072F1">
          <w:pPr>
            <w:jc w:val="both"/>
          </w:pPr>
          <w:r>
            <w:rPr>
              <w:noProof/>
              <w:lang w:val="sl-SI" w:eastAsia="sl-SI"/>
            </w:rPr>
            <w:drawing>
              <wp:inline distT="0" distB="0" distL="0" distR="0" wp14:anchorId="2DE7C81E" wp14:editId="2FF5041C">
                <wp:extent cx="3027707" cy="904381"/>
                <wp:effectExtent l="0" t="0" r="127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7707" cy="904381"/>
                        </a:xfrm>
                        <a:prstGeom prst="rect">
                          <a:avLst/>
                        </a:prstGeom>
                        <a:noFill/>
                        <a:ln>
                          <a:noFill/>
                        </a:ln>
                        <a:extLst/>
                      </pic:spPr>
                    </pic:pic>
                  </a:graphicData>
                </a:graphic>
              </wp:inline>
            </w:drawing>
          </w:r>
        </w:p>
        <w:p w:rsidR="00782702" w:rsidRDefault="00782702" w:rsidP="00F83AB7">
          <w:pPr>
            <w:jc w:val="both"/>
            <w:rPr>
              <w:color w:val="0070C0"/>
              <w:sz w:val="14"/>
              <w:szCs w:val="14"/>
            </w:rPr>
          </w:pPr>
        </w:p>
        <w:p w:rsidR="006072F1" w:rsidRPr="00782702" w:rsidRDefault="006072F1" w:rsidP="00782702">
          <w:pPr>
            <w:rPr>
              <w:color w:val="0070C0"/>
              <w:sz w:val="16"/>
              <w:szCs w:val="16"/>
            </w:rPr>
          </w:pPr>
          <w:r w:rsidRPr="0078270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c>
      <w:tc>
        <w:tcPr>
          <w:tcW w:w="2042" w:type="pct"/>
          <w:vAlign w:val="bottom"/>
        </w:tcPr>
        <w:p w:rsidR="006072F1" w:rsidRPr="00F83AB7" w:rsidRDefault="002F4AC8" w:rsidP="00F83AB7">
          <w:pPr>
            <w:pStyle w:val="nagwek"/>
            <w:rPr>
              <w:b/>
              <w:noProof/>
              <w:lang w:val="sl-SI" w:eastAsia="sl-SI"/>
            </w:rPr>
          </w:pPr>
          <w:sdt>
            <w:sdtPr>
              <w:rPr>
                <w:b/>
                <w:noProof/>
                <w:lang w:val="sl-SI" w:eastAsia="sl-SI"/>
              </w:rPr>
              <w:alias w:val="Kliknij ikonę, aby zastąpić obraz"/>
              <w:tag w:val="Kliknij ikonę, aby zastąpić obraz"/>
              <w:id w:val="722794927"/>
              <w:picture/>
            </w:sdtPr>
            <w:sdtEndPr/>
            <w:sdtContent>
              <w:r w:rsidR="006072F1" w:rsidRPr="00F83AB7">
                <w:rPr>
                  <w:b/>
                  <w:noProof/>
                  <w:lang w:val="sl-SI" w:eastAsia="sl-SI"/>
                </w:rPr>
                <w:drawing>
                  <wp:inline distT="0" distB="0" distL="0" distR="0" wp14:anchorId="65AB7E83" wp14:editId="7F214758">
                    <wp:extent cx="765773" cy="666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74503" cy="674351"/>
                            </a:xfrm>
                            <a:prstGeom prst="rect">
                              <a:avLst/>
                            </a:prstGeom>
                          </pic:spPr>
                        </pic:pic>
                      </a:graphicData>
                    </a:graphic>
                  </wp:inline>
                </w:drawing>
              </w:r>
            </w:sdtContent>
          </w:sdt>
        </w:p>
        <w:p w:rsidR="006072F1" w:rsidRPr="00F83AB7" w:rsidRDefault="006072F1" w:rsidP="00F83AB7">
          <w:pPr>
            <w:pStyle w:val="nagwek"/>
            <w:rPr>
              <w:b/>
              <w:noProof/>
              <w:lang w:val="sl-SI" w:eastAsia="sl-SI"/>
            </w:rPr>
          </w:pPr>
          <w:r w:rsidRPr="00F83AB7">
            <w:rPr>
              <w:b/>
              <w:noProof/>
              <w:lang w:val="sl-SI" w:eastAsia="sl-SI"/>
            </w:rPr>
            <w:t>University of Ljubljana</w:t>
          </w:r>
          <w:r w:rsidR="00782702">
            <w:rPr>
              <w:b/>
              <w:noProof/>
              <w:lang w:val="sl-SI" w:eastAsia="sl-SI"/>
            </w:rPr>
            <w:t>, Faculty of Arts</w:t>
          </w:r>
        </w:p>
      </w:tc>
    </w:tr>
    <w:tr w:rsidR="006072F1" w:rsidTr="00F83AB7">
      <w:tc>
        <w:tcPr>
          <w:tcW w:w="2958" w:type="pct"/>
          <w:vMerge/>
        </w:tcPr>
        <w:p w:rsidR="006072F1" w:rsidRDefault="006072F1"/>
      </w:tc>
      <w:tc>
        <w:tcPr>
          <w:tcW w:w="2042" w:type="pct"/>
        </w:tcPr>
        <w:p w:rsidR="00F83AB7" w:rsidRDefault="006072F1" w:rsidP="00F83AB7">
          <w:pPr>
            <w:jc w:val="right"/>
            <w:rPr>
              <w:b/>
            </w:rPr>
          </w:pPr>
          <w:r w:rsidRPr="00F83AB7">
            <w:rPr>
              <w:b/>
              <w:noProof/>
              <w:lang w:val="sl-SI" w:eastAsia="sl-SI"/>
            </w:rPr>
            <w:drawing>
              <wp:inline distT="0" distB="0" distL="0" distR="0" wp14:anchorId="3ABB006B" wp14:editId="330BCFAE">
                <wp:extent cx="762000" cy="537412"/>
                <wp:effectExtent l="0" t="0" r="0" b="0"/>
                <wp:docPr id="17" name="Picture 17" descr="http://www.andragosko-drustvo.si/wp-content/uploads/2015/10/ads_logo_67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dragosko-drustvo.si/wp-content/uploads/2015/10/ads_logo_67px.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537412"/>
                        </a:xfrm>
                        <a:prstGeom prst="rect">
                          <a:avLst/>
                        </a:prstGeom>
                        <a:noFill/>
                        <a:ln>
                          <a:noFill/>
                        </a:ln>
                      </pic:spPr>
                    </pic:pic>
                  </a:graphicData>
                </a:graphic>
              </wp:inline>
            </w:drawing>
          </w:r>
        </w:p>
        <w:p w:rsidR="006072F1" w:rsidRPr="00F83AB7" w:rsidRDefault="006072F1" w:rsidP="00F83AB7">
          <w:pPr>
            <w:jc w:val="right"/>
            <w:rPr>
              <w:b/>
            </w:rPr>
          </w:pPr>
          <w:r w:rsidRPr="00F83AB7">
            <w:rPr>
              <w:b/>
            </w:rPr>
            <w:t>Slovenian Adult Education</w:t>
          </w:r>
          <w:r w:rsidR="00F83AB7">
            <w:rPr>
              <w:b/>
            </w:rPr>
            <w:t xml:space="preserve"> </w:t>
          </w:r>
          <w:r w:rsidRPr="00F83AB7">
            <w:rPr>
              <w:b/>
            </w:rPr>
            <w:t xml:space="preserve">Association </w:t>
          </w:r>
        </w:p>
      </w:tc>
    </w:tr>
  </w:tbl>
  <w:p w:rsidR="007001BD" w:rsidRDefault="007001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8A"/>
    <w:multiLevelType w:val="hybridMultilevel"/>
    <w:tmpl w:val="C9BE3140"/>
    <w:lvl w:ilvl="0" w:tplc="7086295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76204"/>
    <w:multiLevelType w:val="multilevel"/>
    <w:tmpl w:val="0809001D"/>
    <w:numStyleLink w:val="Style3"/>
  </w:abstractNum>
  <w:abstractNum w:abstractNumId="2">
    <w:nsid w:val="0D9E0AFD"/>
    <w:multiLevelType w:val="hybridMultilevel"/>
    <w:tmpl w:val="858CE8DC"/>
    <w:lvl w:ilvl="0" w:tplc="4EEE8B7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6E7081"/>
    <w:multiLevelType w:val="hybridMultilevel"/>
    <w:tmpl w:val="7FA2E384"/>
    <w:lvl w:ilvl="0" w:tplc="531E0A2C">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4">
    <w:nsid w:val="5DCC28EA"/>
    <w:multiLevelType w:val="hybridMultilevel"/>
    <w:tmpl w:val="1BC22A86"/>
    <w:lvl w:ilvl="0" w:tplc="E8165472">
      <w:start w:val="1"/>
      <w:numFmt w:val="decimal"/>
      <w:lvlText w:val="%1."/>
      <w:lvlJc w:val="left"/>
      <w:pPr>
        <w:ind w:left="504" w:hanging="360"/>
      </w:pPr>
      <w:rPr>
        <w:rFonts w:hint="default"/>
      </w:rPr>
    </w:lvl>
    <w:lvl w:ilvl="1" w:tplc="04240019" w:tentative="1">
      <w:start w:val="1"/>
      <w:numFmt w:val="lowerLetter"/>
      <w:lvlText w:val="%2."/>
      <w:lvlJc w:val="left"/>
      <w:pPr>
        <w:ind w:left="1224" w:hanging="360"/>
      </w:pPr>
    </w:lvl>
    <w:lvl w:ilvl="2" w:tplc="0424001B" w:tentative="1">
      <w:start w:val="1"/>
      <w:numFmt w:val="lowerRoman"/>
      <w:lvlText w:val="%3."/>
      <w:lvlJc w:val="right"/>
      <w:pPr>
        <w:ind w:left="1944" w:hanging="180"/>
      </w:pPr>
    </w:lvl>
    <w:lvl w:ilvl="3" w:tplc="0424000F" w:tentative="1">
      <w:start w:val="1"/>
      <w:numFmt w:val="decimal"/>
      <w:lvlText w:val="%4."/>
      <w:lvlJc w:val="left"/>
      <w:pPr>
        <w:ind w:left="2664" w:hanging="360"/>
      </w:pPr>
    </w:lvl>
    <w:lvl w:ilvl="4" w:tplc="04240019" w:tentative="1">
      <w:start w:val="1"/>
      <w:numFmt w:val="lowerLetter"/>
      <w:lvlText w:val="%5."/>
      <w:lvlJc w:val="left"/>
      <w:pPr>
        <w:ind w:left="3384" w:hanging="360"/>
      </w:pPr>
    </w:lvl>
    <w:lvl w:ilvl="5" w:tplc="0424001B" w:tentative="1">
      <w:start w:val="1"/>
      <w:numFmt w:val="lowerRoman"/>
      <w:lvlText w:val="%6."/>
      <w:lvlJc w:val="right"/>
      <w:pPr>
        <w:ind w:left="4104" w:hanging="180"/>
      </w:pPr>
    </w:lvl>
    <w:lvl w:ilvl="6" w:tplc="0424000F" w:tentative="1">
      <w:start w:val="1"/>
      <w:numFmt w:val="decimal"/>
      <w:lvlText w:val="%7."/>
      <w:lvlJc w:val="left"/>
      <w:pPr>
        <w:ind w:left="4824" w:hanging="360"/>
      </w:pPr>
    </w:lvl>
    <w:lvl w:ilvl="7" w:tplc="04240019" w:tentative="1">
      <w:start w:val="1"/>
      <w:numFmt w:val="lowerLetter"/>
      <w:lvlText w:val="%8."/>
      <w:lvlJc w:val="left"/>
      <w:pPr>
        <w:ind w:left="5544" w:hanging="360"/>
      </w:pPr>
    </w:lvl>
    <w:lvl w:ilvl="8" w:tplc="0424001B" w:tentative="1">
      <w:start w:val="1"/>
      <w:numFmt w:val="lowerRoman"/>
      <w:lvlText w:val="%9."/>
      <w:lvlJc w:val="right"/>
      <w:pPr>
        <w:ind w:left="6264" w:hanging="180"/>
      </w:pPr>
    </w:lvl>
  </w:abstractNum>
  <w:abstractNum w:abstractNumId="5">
    <w:nsid w:val="6A0F7CB3"/>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19"/>
    <w:rsid w:val="000014F7"/>
    <w:rsid w:val="00024284"/>
    <w:rsid w:val="00052423"/>
    <w:rsid w:val="00055302"/>
    <w:rsid w:val="000704C1"/>
    <w:rsid w:val="000928C5"/>
    <w:rsid w:val="00094F08"/>
    <w:rsid w:val="000B0758"/>
    <w:rsid w:val="000C277A"/>
    <w:rsid w:val="000F4164"/>
    <w:rsid w:val="000F4B39"/>
    <w:rsid w:val="00101976"/>
    <w:rsid w:val="00106597"/>
    <w:rsid w:val="00132DB1"/>
    <w:rsid w:val="001E7EAF"/>
    <w:rsid w:val="002275DE"/>
    <w:rsid w:val="002406DE"/>
    <w:rsid w:val="002564CF"/>
    <w:rsid w:val="002567C1"/>
    <w:rsid w:val="00275621"/>
    <w:rsid w:val="002930CA"/>
    <w:rsid w:val="002B4349"/>
    <w:rsid w:val="002C30D6"/>
    <w:rsid w:val="002C689C"/>
    <w:rsid w:val="002D195C"/>
    <w:rsid w:val="002F4AC8"/>
    <w:rsid w:val="003350FD"/>
    <w:rsid w:val="00346D08"/>
    <w:rsid w:val="00381C97"/>
    <w:rsid w:val="0038538B"/>
    <w:rsid w:val="00386717"/>
    <w:rsid w:val="003A31D0"/>
    <w:rsid w:val="003B3C66"/>
    <w:rsid w:val="003C4BDB"/>
    <w:rsid w:val="003C7F8F"/>
    <w:rsid w:val="003E50AA"/>
    <w:rsid w:val="003F5069"/>
    <w:rsid w:val="003F5FF8"/>
    <w:rsid w:val="00414953"/>
    <w:rsid w:val="00426E6A"/>
    <w:rsid w:val="00437686"/>
    <w:rsid w:val="00454500"/>
    <w:rsid w:val="004811C5"/>
    <w:rsid w:val="0048672A"/>
    <w:rsid w:val="00490ADC"/>
    <w:rsid w:val="004E5E87"/>
    <w:rsid w:val="004F745D"/>
    <w:rsid w:val="005073E2"/>
    <w:rsid w:val="00534CF8"/>
    <w:rsid w:val="005379C8"/>
    <w:rsid w:val="00543E05"/>
    <w:rsid w:val="00554F89"/>
    <w:rsid w:val="00560836"/>
    <w:rsid w:val="00573B6B"/>
    <w:rsid w:val="00577A01"/>
    <w:rsid w:val="00584C17"/>
    <w:rsid w:val="005879F1"/>
    <w:rsid w:val="00592AEA"/>
    <w:rsid w:val="005A1289"/>
    <w:rsid w:val="005A1DCA"/>
    <w:rsid w:val="005A6E1D"/>
    <w:rsid w:val="005D7426"/>
    <w:rsid w:val="00601DCA"/>
    <w:rsid w:val="006072F1"/>
    <w:rsid w:val="00615F0A"/>
    <w:rsid w:val="00637B01"/>
    <w:rsid w:val="00640650"/>
    <w:rsid w:val="00671FA4"/>
    <w:rsid w:val="00675CB7"/>
    <w:rsid w:val="006A14D5"/>
    <w:rsid w:val="006B0190"/>
    <w:rsid w:val="006B1DCE"/>
    <w:rsid w:val="006C761E"/>
    <w:rsid w:val="006E6D74"/>
    <w:rsid w:val="007001BD"/>
    <w:rsid w:val="0070195F"/>
    <w:rsid w:val="00702F48"/>
    <w:rsid w:val="00707DE3"/>
    <w:rsid w:val="00712077"/>
    <w:rsid w:val="007212A4"/>
    <w:rsid w:val="00723974"/>
    <w:rsid w:val="00725EB1"/>
    <w:rsid w:val="007367AC"/>
    <w:rsid w:val="0074796E"/>
    <w:rsid w:val="00747EC2"/>
    <w:rsid w:val="00756C0B"/>
    <w:rsid w:val="007659DE"/>
    <w:rsid w:val="00766CAB"/>
    <w:rsid w:val="007776CC"/>
    <w:rsid w:val="00782702"/>
    <w:rsid w:val="00786713"/>
    <w:rsid w:val="00786A7D"/>
    <w:rsid w:val="007964CD"/>
    <w:rsid w:val="007A7529"/>
    <w:rsid w:val="007B076B"/>
    <w:rsid w:val="007C789F"/>
    <w:rsid w:val="007D4CBD"/>
    <w:rsid w:val="007E5932"/>
    <w:rsid w:val="00801B5F"/>
    <w:rsid w:val="00891A61"/>
    <w:rsid w:val="008B68D2"/>
    <w:rsid w:val="008D290D"/>
    <w:rsid w:val="008D7660"/>
    <w:rsid w:val="008F2100"/>
    <w:rsid w:val="009100B1"/>
    <w:rsid w:val="00917DFD"/>
    <w:rsid w:val="00921F8A"/>
    <w:rsid w:val="00930AD7"/>
    <w:rsid w:val="00962625"/>
    <w:rsid w:val="00972887"/>
    <w:rsid w:val="00974A79"/>
    <w:rsid w:val="009840DD"/>
    <w:rsid w:val="00A03E9A"/>
    <w:rsid w:val="00A32806"/>
    <w:rsid w:val="00A3645C"/>
    <w:rsid w:val="00A51AEA"/>
    <w:rsid w:val="00A60CE4"/>
    <w:rsid w:val="00A617AB"/>
    <w:rsid w:val="00A673E9"/>
    <w:rsid w:val="00AA58D3"/>
    <w:rsid w:val="00AA5F07"/>
    <w:rsid w:val="00AC0632"/>
    <w:rsid w:val="00AD4C38"/>
    <w:rsid w:val="00AD4E6A"/>
    <w:rsid w:val="00AD6C58"/>
    <w:rsid w:val="00AD7B0E"/>
    <w:rsid w:val="00AE32FF"/>
    <w:rsid w:val="00AF4F54"/>
    <w:rsid w:val="00B076F9"/>
    <w:rsid w:val="00B11814"/>
    <w:rsid w:val="00B1270B"/>
    <w:rsid w:val="00B302EC"/>
    <w:rsid w:val="00B327DD"/>
    <w:rsid w:val="00B44CAD"/>
    <w:rsid w:val="00B62C51"/>
    <w:rsid w:val="00B7679A"/>
    <w:rsid w:val="00B80E60"/>
    <w:rsid w:val="00BA4B49"/>
    <w:rsid w:val="00BC46CB"/>
    <w:rsid w:val="00BC5519"/>
    <w:rsid w:val="00BE38C3"/>
    <w:rsid w:val="00C06C0D"/>
    <w:rsid w:val="00C44F97"/>
    <w:rsid w:val="00C756C1"/>
    <w:rsid w:val="00C844E7"/>
    <w:rsid w:val="00C866B6"/>
    <w:rsid w:val="00C92114"/>
    <w:rsid w:val="00CA33D3"/>
    <w:rsid w:val="00CA5EFF"/>
    <w:rsid w:val="00CC0A85"/>
    <w:rsid w:val="00CE1EC4"/>
    <w:rsid w:val="00CF1DD9"/>
    <w:rsid w:val="00D20C0E"/>
    <w:rsid w:val="00D31C8B"/>
    <w:rsid w:val="00D343FB"/>
    <w:rsid w:val="00D361B9"/>
    <w:rsid w:val="00D42D1D"/>
    <w:rsid w:val="00D871CA"/>
    <w:rsid w:val="00D92DBF"/>
    <w:rsid w:val="00DC1270"/>
    <w:rsid w:val="00E00F57"/>
    <w:rsid w:val="00E03578"/>
    <w:rsid w:val="00E15411"/>
    <w:rsid w:val="00E458FA"/>
    <w:rsid w:val="00E54FE2"/>
    <w:rsid w:val="00E5770F"/>
    <w:rsid w:val="00E80C35"/>
    <w:rsid w:val="00E83AAB"/>
    <w:rsid w:val="00E86083"/>
    <w:rsid w:val="00EB6C15"/>
    <w:rsid w:val="00ED4EB5"/>
    <w:rsid w:val="00ED6F07"/>
    <w:rsid w:val="00ED7405"/>
    <w:rsid w:val="00F11B5B"/>
    <w:rsid w:val="00F165BB"/>
    <w:rsid w:val="00F22564"/>
    <w:rsid w:val="00F22988"/>
    <w:rsid w:val="00F23AEE"/>
    <w:rsid w:val="00F27797"/>
    <w:rsid w:val="00F508B0"/>
    <w:rsid w:val="00F80821"/>
    <w:rsid w:val="00F81FDF"/>
    <w:rsid w:val="00F835F2"/>
    <w:rsid w:val="00F83AB7"/>
    <w:rsid w:val="00F94429"/>
    <w:rsid w:val="00FB5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pl-PL" w:eastAsia="pl-PL"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02"/>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Nagwek1znak"/>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l"/>
    <w:link w:val="Nagwekznak"/>
    <w:uiPriority w:val="99"/>
    <w:unhideWhenUsed/>
    <w:pPr>
      <w:tabs>
        <w:tab w:val="center" w:pos="4680"/>
        <w:tab w:val="right" w:pos="9360"/>
      </w:tabs>
      <w:spacing w:before="0" w:after="0"/>
      <w:jc w:val="right"/>
    </w:pPr>
  </w:style>
  <w:style w:type="character" w:customStyle="1" w:styleId="Nagwekznak">
    <w:name w:val="Nagłówek (znak)"/>
    <w:basedOn w:val="DefaultParagraphFont"/>
    <w:link w:val="nagwek"/>
    <w:uiPriority w:val="99"/>
    <w:rPr>
      <w:kern w:val="20"/>
    </w:rPr>
  </w:style>
  <w:style w:type="paragraph" w:customStyle="1" w:styleId="stopka">
    <w:name w:val="stopka"/>
    <w:basedOn w:val="Normal"/>
    <w:link w:val="Stopkaznak"/>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Stopkaznak">
    <w:name w:val="Stopka (znak)"/>
    <w:basedOn w:val="DefaultParagraphFont"/>
    <w:link w:val="stopka"/>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customStyle="1" w:styleId="TabelaSiatka">
    <w:name w:val="Tabela — Siatka"/>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customStyle="1" w:styleId="Zamknicie">
    <w:name w:val="Zamknięcie"/>
    <w:basedOn w:val="Normal"/>
    <w:link w:val="Zamknicieznak"/>
    <w:uiPriority w:val="99"/>
    <w:unhideWhenUsed/>
    <w:pPr>
      <w:spacing w:before="600" w:after="80"/>
    </w:pPr>
  </w:style>
  <w:style w:type="character" w:customStyle="1" w:styleId="Zamknicieznak">
    <w:name w:val="Zamknięcie (znak)"/>
    <w:basedOn w:val="DefaultParagraphFont"/>
    <w:link w:val="Zamknicie"/>
    <w:uiPriority w:val="99"/>
    <w:rPr>
      <w:kern w:val="20"/>
    </w:rPr>
  </w:style>
  <w:style w:type="table" w:customStyle="1" w:styleId="Tabelaraportuostanie">
    <w:name w:val="Tabela raportu o stani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DefaultParagraphFont"/>
    <w:link w:val="nagwe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Header">
    <w:name w:val="header"/>
    <w:basedOn w:val="Normal"/>
    <w:link w:val="HeaderChar"/>
    <w:uiPriority w:val="99"/>
    <w:unhideWhenUsed/>
    <w:rsid w:val="00C844E7"/>
    <w:pPr>
      <w:tabs>
        <w:tab w:val="center" w:pos="4536"/>
        <w:tab w:val="right" w:pos="9072"/>
      </w:tabs>
      <w:spacing w:before="0" w:after="0"/>
    </w:pPr>
  </w:style>
  <w:style w:type="character" w:customStyle="1" w:styleId="HeaderChar">
    <w:name w:val="Header Char"/>
    <w:basedOn w:val="DefaultParagraphFont"/>
    <w:link w:val="Header"/>
    <w:uiPriority w:val="99"/>
    <w:rsid w:val="00C844E7"/>
    <w:rPr>
      <w:kern w:val="20"/>
    </w:rPr>
  </w:style>
  <w:style w:type="paragraph" w:styleId="Footer">
    <w:name w:val="footer"/>
    <w:basedOn w:val="Normal"/>
    <w:link w:val="FooterChar"/>
    <w:uiPriority w:val="99"/>
    <w:unhideWhenUsed/>
    <w:rsid w:val="00C844E7"/>
    <w:pPr>
      <w:tabs>
        <w:tab w:val="center" w:pos="4536"/>
        <w:tab w:val="right" w:pos="9072"/>
      </w:tabs>
      <w:spacing w:before="0" w:after="0"/>
    </w:pPr>
  </w:style>
  <w:style w:type="character" w:customStyle="1" w:styleId="FooterChar">
    <w:name w:val="Footer Char"/>
    <w:basedOn w:val="DefaultParagraphFont"/>
    <w:link w:val="Footer"/>
    <w:uiPriority w:val="99"/>
    <w:rsid w:val="00C844E7"/>
    <w:rPr>
      <w:kern w:val="20"/>
    </w:rPr>
  </w:style>
  <w:style w:type="character" w:styleId="CommentReference">
    <w:name w:val="annotation reference"/>
    <w:basedOn w:val="DefaultParagraphFont"/>
    <w:uiPriority w:val="99"/>
    <w:semiHidden/>
    <w:unhideWhenUsed/>
    <w:rsid w:val="000F4164"/>
    <w:rPr>
      <w:sz w:val="16"/>
      <w:szCs w:val="16"/>
    </w:rPr>
  </w:style>
  <w:style w:type="paragraph" w:styleId="CommentText">
    <w:name w:val="annotation text"/>
    <w:basedOn w:val="Normal"/>
    <w:link w:val="CommentTextChar"/>
    <w:uiPriority w:val="99"/>
    <w:semiHidden/>
    <w:unhideWhenUsed/>
    <w:rsid w:val="000F4164"/>
  </w:style>
  <w:style w:type="character" w:customStyle="1" w:styleId="CommentTextChar">
    <w:name w:val="Comment Text Char"/>
    <w:basedOn w:val="DefaultParagraphFont"/>
    <w:link w:val="CommentText"/>
    <w:uiPriority w:val="99"/>
    <w:semiHidden/>
    <w:rsid w:val="000F4164"/>
    <w:rPr>
      <w:kern w:val="20"/>
    </w:rPr>
  </w:style>
  <w:style w:type="paragraph" w:styleId="CommentSubject">
    <w:name w:val="annotation subject"/>
    <w:basedOn w:val="CommentText"/>
    <w:next w:val="CommentText"/>
    <w:link w:val="CommentSubjectChar"/>
    <w:uiPriority w:val="99"/>
    <w:semiHidden/>
    <w:unhideWhenUsed/>
    <w:rsid w:val="000F4164"/>
    <w:rPr>
      <w:b/>
      <w:bCs/>
    </w:rPr>
  </w:style>
  <w:style w:type="character" w:customStyle="1" w:styleId="CommentSubjectChar">
    <w:name w:val="Comment Subject Char"/>
    <w:basedOn w:val="CommentTextChar"/>
    <w:link w:val="CommentSubject"/>
    <w:uiPriority w:val="99"/>
    <w:semiHidden/>
    <w:rsid w:val="000F4164"/>
    <w:rPr>
      <w:b/>
      <w:bCs/>
      <w:kern w:val="20"/>
    </w:rPr>
  </w:style>
  <w:style w:type="paragraph" w:styleId="BalloonText">
    <w:name w:val="Balloon Text"/>
    <w:basedOn w:val="Normal"/>
    <w:link w:val="BalloonTextChar"/>
    <w:uiPriority w:val="99"/>
    <w:semiHidden/>
    <w:unhideWhenUsed/>
    <w:rsid w:val="000F41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4"/>
    <w:rPr>
      <w:rFonts w:ascii="Segoe UI" w:hAnsi="Segoe UI" w:cs="Segoe UI"/>
      <w:kern w:val="20"/>
      <w:sz w:val="18"/>
      <w:szCs w:val="18"/>
    </w:rPr>
  </w:style>
  <w:style w:type="paragraph" w:styleId="ListParagraph">
    <w:name w:val="List Paragraph"/>
    <w:basedOn w:val="Normal"/>
    <w:uiPriority w:val="34"/>
    <w:qFormat/>
    <w:rsid w:val="00534CF8"/>
    <w:pPr>
      <w:ind w:left="720"/>
      <w:contextualSpacing/>
    </w:pPr>
  </w:style>
  <w:style w:type="character" w:customStyle="1" w:styleId="tw4winMark">
    <w:name w:val="tw4winMark"/>
    <w:rsid w:val="00930AD7"/>
    <w:rPr>
      <w:vanish/>
      <w:color w:val="800080"/>
      <w:vertAlign w:val="subscript"/>
    </w:rPr>
  </w:style>
  <w:style w:type="character" w:customStyle="1" w:styleId="shorttext">
    <w:name w:val="short_text"/>
    <w:basedOn w:val="DefaultParagraphFont"/>
    <w:rsid w:val="00930AD7"/>
  </w:style>
  <w:style w:type="paragraph" w:customStyle="1" w:styleId="bodytext">
    <w:name w:val="bodytext"/>
    <w:basedOn w:val="Normal"/>
    <w:rsid w:val="00930AD7"/>
    <w:pPr>
      <w:spacing w:before="100" w:beforeAutospacing="1" w:after="100" w:afterAutospacing="1"/>
    </w:pPr>
    <w:rPr>
      <w:rFonts w:ascii="Times New Roman" w:eastAsia="Times New Roman" w:hAnsi="Times New Roman" w:cs="Times New Roman"/>
      <w:color w:val="auto"/>
      <w:kern w:val="0"/>
      <w:sz w:val="24"/>
      <w:szCs w:val="24"/>
      <w:lang w:val="sl-SI" w:eastAsia="sl-SI"/>
    </w:rPr>
  </w:style>
  <w:style w:type="numbering" w:customStyle="1" w:styleId="Style3">
    <w:name w:val="Style3"/>
    <w:uiPriority w:val="99"/>
    <w:rsid w:val="002930CA"/>
    <w:pPr>
      <w:numPr>
        <w:numId w:val="5"/>
      </w:numPr>
    </w:pPr>
  </w:style>
  <w:style w:type="character" w:styleId="Hyperlink">
    <w:name w:val="Hyperlink"/>
    <w:basedOn w:val="DefaultParagraphFont"/>
    <w:uiPriority w:val="99"/>
    <w:unhideWhenUsed/>
    <w:rsid w:val="006B1DCE"/>
    <w:rPr>
      <w:color w:val="64646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pl-PL" w:eastAsia="pl-PL"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02"/>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Nagwek1znak"/>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l"/>
    <w:link w:val="Nagwekznak"/>
    <w:uiPriority w:val="99"/>
    <w:unhideWhenUsed/>
    <w:pPr>
      <w:tabs>
        <w:tab w:val="center" w:pos="4680"/>
        <w:tab w:val="right" w:pos="9360"/>
      </w:tabs>
      <w:spacing w:before="0" w:after="0"/>
      <w:jc w:val="right"/>
    </w:pPr>
  </w:style>
  <w:style w:type="character" w:customStyle="1" w:styleId="Nagwekznak">
    <w:name w:val="Nagłówek (znak)"/>
    <w:basedOn w:val="DefaultParagraphFont"/>
    <w:link w:val="nagwek"/>
    <w:uiPriority w:val="99"/>
    <w:rPr>
      <w:kern w:val="20"/>
    </w:rPr>
  </w:style>
  <w:style w:type="paragraph" w:customStyle="1" w:styleId="stopka">
    <w:name w:val="stopka"/>
    <w:basedOn w:val="Normal"/>
    <w:link w:val="Stopkaznak"/>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Stopkaznak">
    <w:name w:val="Stopka (znak)"/>
    <w:basedOn w:val="DefaultParagraphFont"/>
    <w:link w:val="stopka"/>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customStyle="1" w:styleId="TabelaSiatka">
    <w:name w:val="Tabela — Siatka"/>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customStyle="1" w:styleId="Zamknicie">
    <w:name w:val="Zamknięcie"/>
    <w:basedOn w:val="Normal"/>
    <w:link w:val="Zamknicieznak"/>
    <w:uiPriority w:val="99"/>
    <w:unhideWhenUsed/>
    <w:pPr>
      <w:spacing w:before="600" w:after="80"/>
    </w:pPr>
  </w:style>
  <w:style w:type="character" w:customStyle="1" w:styleId="Zamknicieznak">
    <w:name w:val="Zamknięcie (znak)"/>
    <w:basedOn w:val="DefaultParagraphFont"/>
    <w:link w:val="Zamknicie"/>
    <w:uiPriority w:val="99"/>
    <w:rPr>
      <w:kern w:val="20"/>
    </w:rPr>
  </w:style>
  <w:style w:type="table" w:customStyle="1" w:styleId="Tabelaraportuostanie">
    <w:name w:val="Tabela raportu o stani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DefaultParagraphFont"/>
    <w:link w:val="nagwe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Header">
    <w:name w:val="header"/>
    <w:basedOn w:val="Normal"/>
    <w:link w:val="HeaderChar"/>
    <w:uiPriority w:val="99"/>
    <w:unhideWhenUsed/>
    <w:rsid w:val="00C844E7"/>
    <w:pPr>
      <w:tabs>
        <w:tab w:val="center" w:pos="4536"/>
        <w:tab w:val="right" w:pos="9072"/>
      </w:tabs>
      <w:spacing w:before="0" w:after="0"/>
    </w:pPr>
  </w:style>
  <w:style w:type="character" w:customStyle="1" w:styleId="HeaderChar">
    <w:name w:val="Header Char"/>
    <w:basedOn w:val="DefaultParagraphFont"/>
    <w:link w:val="Header"/>
    <w:uiPriority w:val="99"/>
    <w:rsid w:val="00C844E7"/>
    <w:rPr>
      <w:kern w:val="20"/>
    </w:rPr>
  </w:style>
  <w:style w:type="paragraph" w:styleId="Footer">
    <w:name w:val="footer"/>
    <w:basedOn w:val="Normal"/>
    <w:link w:val="FooterChar"/>
    <w:uiPriority w:val="99"/>
    <w:unhideWhenUsed/>
    <w:rsid w:val="00C844E7"/>
    <w:pPr>
      <w:tabs>
        <w:tab w:val="center" w:pos="4536"/>
        <w:tab w:val="right" w:pos="9072"/>
      </w:tabs>
      <w:spacing w:before="0" w:after="0"/>
    </w:pPr>
  </w:style>
  <w:style w:type="character" w:customStyle="1" w:styleId="FooterChar">
    <w:name w:val="Footer Char"/>
    <w:basedOn w:val="DefaultParagraphFont"/>
    <w:link w:val="Footer"/>
    <w:uiPriority w:val="99"/>
    <w:rsid w:val="00C844E7"/>
    <w:rPr>
      <w:kern w:val="20"/>
    </w:rPr>
  </w:style>
  <w:style w:type="character" w:styleId="CommentReference">
    <w:name w:val="annotation reference"/>
    <w:basedOn w:val="DefaultParagraphFont"/>
    <w:uiPriority w:val="99"/>
    <w:semiHidden/>
    <w:unhideWhenUsed/>
    <w:rsid w:val="000F4164"/>
    <w:rPr>
      <w:sz w:val="16"/>
      <w:szCs w:val="16"/>
    </w:rPr>
  </w:style>
  <w:style w:type="paragraph" w:styleId="CommentText">
    <w:name w:val="annotation text"/>
    <w:basedOn w:val="Normal"/>
    <w:link w:val="CommentTextChar"/>
    <w:uiPriority w:val="99"/>
    <w:semiHidden/>
    <w:unhideWhenUsed/>
    <w:rsid w:val="000F4164"/>
  </w:style>
  <w:style w:type="character" w:customStyle="1" w:styleId="CommentTextChar">
    <w:name w:val="Comment Text Char"/>
    <w:basedOn w:val="DefaultParagraphFont"/>
    <w:link w:val="CommentText"/>
    <w:uiPriority w:val="99"/>
    <w:semiHidden/>
    <w:rsid w:val="000F4164"/>
    <w:rPr>
      <w:kern w:val="20"/>
    </w:rPr>
  </w:style>
  <w:style w:type="paragraph" w:styleId="CommentSubject">
    <w:name w:val="annotation subject"/>
    <w:basedOn w:val="CommentText"/>
    <w:next w:val="CommentText"/>
    <w:link w:val="CommentSubjectChar"/>
    <w:uiPriority w:val="99"/>
    <w:semiHidden/>
    <w:unhideWhenUsed/>
    <w:rsid w:val="000F4164"/>
    <w:rPr>
      <w:b/>
      <w:bCs/>
    </w:rPr>
  </w:style>
  <w:style w:type="character" w:customStyle="1" w:styleId="CommentSubjectChar">
    <w:name w:val="Comment Subject Char"/>
    <w:basedOn w:val="CommentTextChar"/>
    <w:link w:val="CommentSubject"/>
    <w:uiPriority w:val="99"/>
    <w:semiHidden/>
    <w:rsid w:val="000F4164"/>
    <w:rPr>
      <w:b/>
      <w:bCs/>
      <w:kern w:val="20"/>
    </w:rPr>
  </w:style>
  <w:style w:type="paragraph" w:styleId="BalloonText">
    <w:name w:val="Balloon Text"/>
    <w:basedOn w:val="Normal"/>
    <w:link w:val="BalloonTextChar"/>
    <w:uiPriority w:val="99"/>
    <w:semiHidden/>
    <w:unhideWhenUsed/>
    <w:rsid w:val="000F41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4"/>
    <w:rPr>
      <w:rFonts w:ascii="Segoe UI" w:hAnsi="Segoe UI" w:cs="Segoe UI"/>
      <w:kern w:val="20"/>
      <w:sz w:val="18"/>
      <w:szCs w:val="18"/>
    </w:rPr>
  </w:style>
  <w:style w:type="paragraph" w:styleId="ListParagraph">
    <w:name w:val="List Paragraph"/>
    <w:basedOn w:val="Normal"/>
    <w:uiPriority w:val="34"/>
    <w:qFormat/>
    <w:rsid w:val="00534CF8"/>
    <w:pPr>
      <w:ind w:left="720"/>
      <w:contextualSpacing/>
    </w:pPr>
  </w:style>
  <w:style w:type="character" w:customStyle="1" w:styleId="tw4winMark">
    <w:name w:val="tw4winMark"/>
    <w:rsid w:val="00930AD7"/>
    <w:rPr>
      <w:vanish/>
      <w:color w:val="800080"/>
      <w:vertAlign w:val="subscript"/>
    </w:rPr>
  </w:style>
  <w:style w:type="character" w:customStyle="1" w:styleId="shorttext">
    <w:name w:val="short_text"/>
    <w:basedOn w:val="DefaultParagraphFont"/>
    <w:rsid w:val="00930AD7"/>
  </w:style>
  <w:style w:type="paragraph" w:customStyle="1" w:styleId="bodytext">
    <w:name w:val="bodytext"/>
    <w:basedOn w:val="Normal"/>
    <w:rsid w:val="00930AD7"/>
    <w:pPr>
      <w:spacing w:before="100" w:beforeAutospacing="1" w:after="100" w:afterAutospacing="1"/>
    </w:pPr>
    <w:rPr>
      <w:rFonts w:ascii="Times New Roman" w:eastAsia="Times New Roman" w:hAnsi="Times New Roman" w:cs="Times New Roman"/>
      <w:color w:val="auto"/>
      <w:kern w:val="0"/>
      <w:sz w:val="24"/>
      <w:szCs w:val="24"/>
      <w:lang w:val="sl-SI" w:eastAsia="sl-SI"/>
    </w:rPr>
  </w:style>
  <w:style w:type="numbering" w:customStyle="1" w:styleId="Style3">
    <w:name w:val="Style3"/>
    <w:uiPriority w:val="99"/>
    <w:rsid w:val="002930CA"/>
    <w:pPr>
      <w:numPr>
        <w:numId w:val="5"/>
      </w:numPr>
    </w:pPr>
  </w:style>
  <w:style w:type="character" w:styleId="Hyperlink">
    <w:name w:val="Hyperlink"/>
    <w:basedOn w:val="DefaultParagraphFont"/>
    <w:uiPriority w:val="99"/>
    <w:unhideWhenUsed/>
    <w:rsid w:val="006B1DCE"/>
    <w:rPr>
      <w:color w:val="64646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si/statwe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acea.ec.europa.eu/education/eurydice/documents/facts_and_figures/education_structures_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lib.si/results/?&amp;query=%27rele%253dTeorija%2bin%2bpraksa%2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lia\AppData\Roaming\Microsoft\Templates\Raport%20o%20stanie%20projektu.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C501A405-16CD-41F0-8517-3BBCE285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o stanie projektu</Template>
  <TotalTime>3</TotalTime>
  <Pages>14</Pages>
  <Words>5912</Words>
  <Characters>33703</Characters>
  <Application>Microsoft Office Word</Application>
  <DocSecurity>0</DocSecurity>
  <Lines>280</Lines>
  <Paragraphs>79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Rozalia</dc:creator>
  <cp:lastModifiedBy>marta</cp:lastModifiedBy>
  <cp:revision>5</cp:revision>
  <cp:lastPrinted>2018-06-20T12:33:00Z</cp:lastPrinted>
  <dcterms:created xsi:type="dcterms:W3CDTF">2018-11-25T13:15:00Z</dcterms:created>
  <dcterms:modified xsi:type="dcterms:W3CDTF">2018-11-25T13:25:00Z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