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AB7" w:rsidRPr="00A906AC" w:rsidRDefault="00F83AB7" w:rsidP="00DF5460">
      <w:pPr>
        <w:pStyle w:val="Title"/>
        <w:spacing w:line="276" w:lineRule="auto"/>
        <w:jc w:val="center"/>
        <w:rPr>
          <w:rFonts w:asciiTheme="minorHAnsi" w:hAnsiTheme="minorHAnsi"/>
          <w:b/>
          <w:color w:val="002060"/>
          <w:sz w:val="24"/>
          <w:szCs w:val="24"/>
        </w:rPr>
      </w:pPr>
    </w:p>
    <w:p w:rsidR="00782702" w:rsidRPr="00A906AC" w:rsidRDefault="00782702" w:rsidP="00DF5460">
      <w:pPr>
        <w:spacing w:line="276" w:lineRule="auto"/>
        <w:rPr>
          <w:sz w:val="24"/>
          <w:szCs w:val="24"/>
        </w:rPr>
      </w:pPr>
    </w:p>
    <w:p w:rsidR="00DF5460" w:rsidRPr="00A906AC" w:rsidRDefault="00DF5460" w:rsidP="00DF5460">
      <w:pPr>
        <w:pStyle w:val="Title"/>
        <w:spacing w:before="0" w:after="0" w:line="276" w:lineRule="auto"/>
        <w:jc w:val="center"/>
        <w:rPr>
          <w:rFonts w:asciiTheme="minorHAnsi" w:hAnsiTheme="minorHAnsi"/>
          <w:color w:val="002060"/>
          <w:sz w:val="24"/>
          <w:szCs w:val="24"/>
        </w:rPr>
      </w:pPr>
    </w:p>
    <w:p w:rsidR="00F83AB7" w:rsidRPr="00A906AC" w:rsidRDefault="00625F3D" w:rsidP="00DF5460">
      <w:pPr>
        <w:pStyle w:val="Title"/>
        <w:spacing w:before="0" w:after="0" w:line="276" w:lineRule="auto"/>
        <w:jc w:val="center"/>
        <w:rPr>
          <w:rFonts w:asciiTheme="minorHAnsi" w:hAnsiTheme="minorHAnsi"/>
        </w:rPr>
      </w:pPr>
      <w:r w:rsidRPr="00A906AC">
        <w:rPr>
          <w:rFonts w:asciiTheme="minorHAnsi" w:hAnsiTheme="minorHAnsi"/>
          <w:color w:val="002060"/>
        </w:rPr>
        <w:t xml:space="preserve">priporočilno pismo </w:t>
      </w:r>
      <w:r w:rsidR="00C72553" w:rsidRPr="00A906AC">
        <w:rPr>
          <w:rFonts w:asciiTheme="minorHAnsi" w:hAnsiTheme="minorHAnsi"/>
          <w:color w:val="002060"/>
        </w:rPr>
        <w:t>državnim</w:t>
      </w:r>
      <w:r w:rsidRPr="00A906AC">
        <w:rPr>
          <w:rFonts w:asciiTheme="minorHAnsi" w:hAnsiTheme="minorHAnsi"/>
          <w:color w:val="002060"/>
        </w:rPr>
        <w:t xml:space="preserve"> in lokalnim organom v Sloveniji</w:t>
      </w:r>
      <w:r w:rsidR="00C72553" w:rsidRPr="00A906AC">
        <w:rPr>
          <w:rFonts w:asciiTheme="minorHAnsi" w:hAnsiTheme="minorHAnsi"/>
          <w:color w:val="002060"/>
        </w:rPr>
        <w:t xml:space="preserve"> </w:t>
      </w:r>
    </w:p>
    <w:p w:rsidR="00F83AB7" w:rsidRPr="00A906AC" w:rsidRDefault="00F83AB7" w:rsidP="00DF5460">
      <w:pPr>
        <w:spacing w:line="276" w:lineRule="auto"/>
        <w:rPr>
          <w:sz w:val="48"/>
          <w:szCs w:val="48"/>
        </w:rPr>
      </w:pPr>
    </w:p>
    <w:p w:rsidR="00F83AB7" w:rsidRPr="00A906AC" w:rsidRDefault="00F83AB7" w:rsidP="00DF5460">
      <w:pPr>
        <w:spacing w:line="276" w:lineRule="auto"/>
        <w:rPr>
          <w:sz w:val="24"/>
          <w:szCs w:val="24"/>
        </w:rPr>
      </w:pPr>
    </w:p>
    <w:p w:rsidR="00F83AB7" w:rsidRPr="00A906AC" w:rsidRDefault="00F83AB7" w:rsidP="00DF5460">
      <w:pPr>
        <w:spacing w:line="276" w:lineRule="auto"/>
        <w:rPr>
          <w:sz w:val="24"/>
          <w:szCs w:val="24"/>
        </w:rPr>
      </w:pPr>
    </w:p>
    <w:p w:rsidR="00F83AB7" w:rsidRPr="00A906AC" w:rsidRDefault="00F83AB7" w:rsidP="00DF5460">
      <w:pPr>
        <w:spacing w:line="276" w:lineRule="auto"/>
        <w:rPr>
          <w:sz w:val="24"/>
          <w:szCs w:val="24"/>
        </w:rPr>
      </w:pPr>
    </w:p>
    <w:p w:rsidR="00B327DD" w:rsidRPr="00A906AC" w:rsidRDefault="00B327DD" w:rsidP="00DF5460">
      <w:pPr>
        <w:spacing w:line="276" w:lineRule="auto"/>
        <w:rPr>
          <w:sz w:val="24"/>
          <w:szCs w:val="24"/>
        </w:rPr>
      </w:pPr>
    </w:p>
    <w:p w:rsidR="00B327DD" w:rsidRPr="00A906AC" w:rsidRDefault="00B327DD" w:rsidP="00DF5460">
      <w:pPr>
        <w:spacing w:line="276" w:lineRule="auto"/>
        <w:rPr>
          <w:sz w:val="24"/>
          <w:szCs w:val="24"/>
        </w:rPr>
      </w:pPr>
    </w:p>
    <w:p w:rsidR="00B327DD" w:rsidRPr="00A906AC" w:rsidRDefault="00B327DD" w:rsidP="00DF5460">
      <w:pPr>
        <w:spacing w:line="276" w:lineRule="auto"/>
        <w:rPr>
          <w:sz w:val="24"/>
          <w:szCs w:val="24"/>
        </w:rPr>
      </w:pPr>
    </w:p>
    <w:p w:rsidR="00782702" w:rsidRPr="00A906AC" w:rsidRDefault="00782702" w:rsidP="00DF5460">
      <w:pPr>
        <w:spacing w:line="276" w:lineRule="auto"/>
        <w:rPr>
          <w:sz w:val="24"/>
          <w:szCs w:val="24"/>
        </w:rPr>
      </w:pPr>
    </w:p>
    <w:p w:rsidR="00A906AC" w:rsidRDefault="00A906AC" w:rsidP="00DF5460">
      <w:pPr>
        <w:spacing w:line="276" w:lineRule="auto"/>
        <w:rPr>
          <w:sz w:val="24"/>
          <w:szCs w:val="24"/>
        </w:rPr>
      </w:pPr>
    </w:p>
    <w:p w:rsidR="00A906AC" w:rsidRDefault="00A906AC" w:rsidP="00DF5460">
      <w:pPr>
        <w:spacing w:line="276" w:lineRule="auto"/>
        <w:rPr>
          <w:sz w:val="24"/>
          <w:szCs w:val="24"/>
        </w:rPr>
      </w:pPr>
    </w:p>
    <w:p w:rsidR="00A906AC" w:rsidRDefault="00A906AC" w:rsidP="00DF5460">
      <w:pPr>
        <w:spacing w:line="276" w:lineRule="auto"/>
        <w:rPr>
          <w:sz w:val="24"/>
          <w:szCs w:val="24"/>
        </w:rPr>
      </w:pPr>
    </w:p>
    <w:p w:rsidR="00A906AC" w:rsidRDefault="00A906AC" w:rsidP="00DF5460">
      <w:pPr>
        <w:spacing w:line="276" w:lineRule="auto"/>
        <w:rPr>
          <w:sz w:val="24"/>
          <w:szCs w:val="24"/>
        </w:rPr>
      </w:pPr>
    </w:p>
    <w:p w:rsidR="00A906AC" w:rsidRPr="00A906AC" w:rsidRDefault="00A906AC" w:rsidP="00DF5460">
      <w:pPr>
        <w:spacing w:line="276" w:lineRule="auto"/>
        <w:rPr>
          <w:sz w:val="24"/>
          <w:szCs w:val="24"/>
        </w:rPr>
      </w:pPr>
    </w:p>
    <w:p w:rsidR="00F83AB7" w:rsidRPr="00A906AC" w:rsidRDefault="00F83AB7" w:rsidP="00DF5460">
      <w:pPr>
        <w:spacing w:line="276" w:lineRule="auto"/>
        <w:rPr>
          <w:sz w:val="24"/>
          <w:szCs w:val="24"/>
        </w:rPr>
      </w:pPr>
    </w:p>
    <w:tbl>
      <w:tblPr>
        <w:tblStyle w:val="Tabelaraportuostanie"/>
        <w:tblW w:w="5000" w:type="pct"/>
        <w:tblLook w:val="04A0" w:firstRow="1" w:lastRow="0" w:firstColumn="1" w:lastColumn="0" w:noHBand="0" w:noVBand="1"/>
      </w:tblPr>
      <w:tblGrid>
        <w:gridCol w:w="2411"/>
        <w:gridCol w:w="3798"/>
        <w:gridCol w:w="3504"/>
      </w:tblGrid>
      <w:tr w:rsidR="00BC5519" w:rsidRPr="008D5676" w:rsidTr="00625F3D">
        <w:trPr>
          <w:cnfStyle w:val="100000000000" w:firstRow="1" w:lastRow="0" w:firstColumn="0" w:lastColumn="0" w:oddVBand="0" w:evenVBand="0" w:oddHBand="0" w:evenHBand="0" w:firstRowFirstColumn="0" w:firstRowLastColumn="0" w:lastRowFirstColumn="0" w:lastRowLastColumn="0"/>
        </w:trPr>
        <w:tc>
          <w:tcPr>
            <w:tcW w:w="2376" w:type="dxa"/>
          </w:tcPr>
          <w:p w:rsidR="007001BD" w:rsidRPr="00A906AC" w:rsidRDefault="00DC1270" w:rsidP="00DF5460">
            <w:pPr>
              <w:rPr>
                <w:rFonts w:asciiTheme="minorHAnsi" w:hAnsiTheme="minorHAnsi"/>
                <w:sz w:val="24"/>
                <w:szCs w:val="24"/>
              </w:rPr>
            </w:pPr>
            <w:r w:rsidRPr="00A906AC">
              <w:rPr>
                <w:sz w:val="24"/>
                <w:szCs w:val="24"/>
              </w:rPr>
              <w:t>D</w:t>
            </w:r>
            <w:r w:rsidR="00625F3D" w:rsidRPr="00A906AC">
              <w:rPr>
                <w:sz w:val="24"/>
                <w:szCs w:val="24"/>
              </w:rPr>
              <w:t>atum</w:t>
            </w:r>
          </w:p>
        </w:tc>
        <w:tc>
          <w:tcPr>
            <w:tcW w:w="3743" w:type="dxa"/>
          </w:tcPr>
          <w:p w:rsidR="007001BD" w:rsidRPr="00A906AC" w:rsidRDefault="00625F3D" w:rsidP="00DF5460">
            <w:pPr>
              <w:rPr>
                <w:rFonts w:asciiTheme="minorHAnsi" w:hAnsiTheme="minorHAnsi"/>
                <w:sz w:val="24"/>
                <w:szCs w:val="24"/>
              </w:rPr>
            </w:pPr>
            <w:r w:rsidRPr="00A906AC">
              <w:rPr>
                <w:sz w:val="24"/>
                <w:szCs w:val="24"/>
              </w:rPr>
              <w:t>ime projekta</w:t>
            </w:r>
            <w:r w:rsidR="00BC5519" w:rsidRPr="00A906AC">
              <w:rPr>
                <w:sz w:val="24"/>
                <w:szCs w:val="24"/>
              </w:rPr>
              <w:t xml:space="preserve"> </w:t>
            </w:r>
          </w:p>
        </w:tc>
        <w:tc>
          <w:tcPr>
            <w:tcW w:w="3453" w:type="dxa"/>
          </w:tcPr>
          <w:p w:rsidR="007001BD" w:rsidRPr="00A906AC" w:rsidRDefault="00625F3D" w:rsidP="00DF5460">
            <w:pPr>
              <w:rPr>
                <w:rFonts w:asciiTheme="minorHAnsi" w:hAnsiTheme="minorHAnsi"/>
                <w:sz w:val="24"/>
                <w:szCs w:val="24"/>
              </w:rPr>
            </w:pPr>
            <w:r w:rsidRPr="00A906AC">
              <w:rPr>
                <w:sz w:val="24"/>
                <w:szCs w:val="24"/>
              </w:rPr>
              <w:t>pripravili</w:t>
            </w:r>
            <w:r w:rsidR="00BC5519" w:rsidRPr="00A906AC">
              <w:rPr>
                <w:sz w:val="24"/>
                <w:szCs w:val="24"/>
              </w:rPr>
              <w:t xml:space="preserve"> </w:t>
            </w:r>
          </w:p>
        </w:tc>
      </w:tr>
      <w:tr w:rsidR="00BC5519" w:rsidRPr="008D5676" w:rsidTr="00625F3D">
        <w:tc>
          <w:tcPr>
            <w:tcW w:w="2376" w:type="dxa"/>
          </w:tcPr>
          <w:p w:rsidR="007001BD" w:rsidRPr="00A906AC" w:rsidRDefault="00782702" w:rsidP="00DF5460">
            <w:pPr>
              <w:rPr>
                <w:color w:val="auto"/>
                <w:sz w:val="24"/>
                <w:szCs w:val="24"/>
              </w:rPr>
            </w:pPr>
            <w:r w:rsidRPr="00A906AC">
              <w:rPr>
                <w:color w:val="auto"/>
                <w:sz w:val="24"/>
                <w:szCs w:val="24"/>
              </w:rPr>
              <w:t>15</w:t>
            </w:r>
            <w:r w:rsidR="00541439" w:rsidRPr="00A906AC">
              <w:rPr>
                <w:color w:val="auto"/>
                <w:sz w:val="24"/>
                <w:szCs w:val="24"/>
              </w:rPr>
              <w:t>.</w:t>
            </w:r>
            <w:r w:rsidRPr="00A906AC">
              <w:rPr>
                <w:color w:val="auto"/>
                <w:sz w:val="24"/>
                <w:szCs w:val="24"/>
              </w:rPr>
              <w:t xml:space="preserve"> </w:t>
            </w:r>
            <w:r w:rsidR="00625F3D" w:rsidRPr="00A906AC">
              <w:rPr>
                <w:color w:val="auto"/>
                <w:sz w:val="24"/>
                <w:szCs w:val="24"/>
              </w:rPr>
              <w:t>marec</w:t>
            </w:r>
            <w:r w:rsidRPr="00A906AC">
              <w:rPr>
                <w:color w:val="auto"/>
                <w:sz w:val="24"/>
                <w:szCs w:val="24"/>
              </w:rPr>
              <w:t xml:space="preserve"> 2018</w:t>
            </w:r>
          </w:p>
          <w:p w:rsidR="00CF1DD9" w:rsidRPr="00A906AC" w:rsidRDefault="00CF1DD9" w:rsidP="00DF5460">
            <w:pPr>
              <w:rPr>
                <w:color w:val="auto"/>
                <w:sz w:val="24"/>
                <w:szCs w:val="24"/>
              </w:rPr>
            </w:pPr>
          </w:p>
          <w:p w:rsidR="00CF1DD9" w:rsidRPr="00A906AC" w:rsidRDefault="00CF1DD9" w:rsidP="00DF5460">
            <w:pPr>
              <w:rPr>
                <w:color w:val="auto"/>
                <w:sz w:val="24"/>
                <w:szCs w:val="24"/>
              </w:rPr>
            </w:pPr>
            <w:r w:rsidRPr="00A906AC">
              <w:rPr>
                <w:color w:val="auto"/>
                <w:sz w:val="24"/>
                <w:szCs w:val="24"/>
              </w:rPr>
              <w:t>Sloveni</w:t>
            </w:r>
            <w:r w:rsidR="00480FD0" w:rsidRPr="00A906AC">
              <w:rPr>
                <w:color w:val="auto"/>
                <w:sz w:val="24"/>
                <w:szCs w:val="24"/>
              </w:rPr>
              <w:t>j</w:t>
            </w:r>
            <w:r w:rsidRPr="00A906AC">
              <w:rPr>
                <w:color w:val="auto"/>
                <w:sz w:val="24"/>
                <w:szCs w:val="24"/>
              </w:rPr>
              <w:t>a, Ljubljana</w:t>
            </w:r>
          </w:p>
        </w:tc>
        <w:tc>
          <w:tcPr>
            <w:tcW w:w="3743" w:type="dxa"/>
          </w:tcPr>
          <w:p w:rsidR="00930AD7" w:rsidRPr="00A906AC" w:rsidRDefault="00625F3D" w:rsidP="00DF5460">
            <w:pPr>
              <w:rPr>
                <w:i/>
                <w:color w:val="auto"/>
                <w:sz w:val="24"/>
                <w:szCs w:val="24"/>
              </w:rPr>
            </w:pPr>
            <w:r w:rsidRPr="00A906AC">
              <w:rPr>
                <w:i/>
                <w:color w:val="auto"/>
                <w:sz w:val="24"/>
                <w:szCs w:val="24"/>
              </w:rPr>
              <w:t xml:space="preserve">Vključevanje starejših moških v skupnost / </w:t>
            </w:r>
            <w:r w:rsidR="00BC5519" w:rsidRPr="00A906AC">
              <w:rPr>
                <w:i/>
                <w:color w:val="auto"/>
                <w:sz w:val="24"/>
                <w:szCs w:val="24"/>
              </w:rPr>
              <w:t xml:space="preserve">Old Guys Say Yes To Community </w:t>
            </w:r>
          </w:p>
          <w:p w:rsidR="00F83AB7" w:rsidRPr="00A906AC" w:rsidRDefault="00F83AB7" w:rsidP="00DF5460">
            <w:pPr>
              <w:rPr>
                <w:color w:val="auto"/>
                <w:sz w:val="24"/>
                <w:szCs w:val="24"/>
              </w:rPr>
            </w:pPr>
            <w:r w:rsidRPr="00A906AC">
              <w:rPr>
                <w:color w:val="auto"/>
                <w:sz w:val="24"/>
                <w:szCs w:val="24"/>
              </w:rPr>
              <w:t>16-204-021604</w:t>
            </w:r>
          </w:p>
          <w:p w:rsidR="007001BD" w:rsidRPr="00A906AC" w:rsidRDefault="00F83AB7" w:rsidP="00DF5460">
            <w:pPr>
              <w:rPr>
                <w:color w:val="auto"/>
                <w:sz w:val="24"/>
                <w:szCs w:val="24"/>
              </w:rPr>
            </w:pPr>
            <w:r w:rsidRPr="00A906AC">
              <w:rPr>
                <w:color w:val="auto"/>
                <w:sz w:val="24"/>
                <w:szCs w:val="24"/>
              </w:rPr>
              <w:t>KA2-AR-9/16</w:t>
            </w:r>
          </w:p>
        </w:tc>
        <w:tc>
          <w:tcPr>
            <w:tcW w:w="3453" w:type="dxa"/>
          </w:tcPr>
          <w:p w:rsidR="00AD6C58" w:rsidRPr="00A906AC" w:rsidRDefault="00573B6B" w:rsidP="00DF5460">
            <w:pPr>
              <w:rPr>
                <w:color w:val="auto"/>
                <w:sz w:val="24"/>
                <w:szCs w:val="24"/>
              </w:rPr>
            </w:pPr>
            <w:r w:rsidRPr="00A906AC">
              <w:rPr>
                <w:color w:val="auto"/>
                <w:sz w:val="24"/>
                <w:szCs w:val="24"/>
              </w:rPr>
              <w:t>d</w:t>
            </w:r>
            <w:r w:rsidR="00AA58D3" w:rsidRPr="00A906AC">
              <w:rPr>
                <w:color w:val="auto"/>
                <w:sz w:val="24"/>
                <w:szCs w:val="24"/>
              </w:rPr>
              <w:t xml:space="preserve">r. </w:t>
            </w:r>
            <w:r w:rsidR="00E00F57" w:rsidRPr="00A906AC">
              <w:rPr>
                <w:color w:val="auto"/>
                <w:sz w:val="24"/>
                <w:szCs w:val="24"/>
              </w:rPr>
              <w:t>Marta Gregorčič</w:t>
            </w:r>
          </w:p>
          <w:p w:rsidR="00052423" w:rsidRPr="00A906AC" w:rsidRDefault="00052423" w:rsidP="00DF5460">
            <w:pPr>
              <w:rPr>
                <w:color w:val="auto"/>
                <w:sz w:val="24"/>
                <w:szCs w:val="24"/>
              </w:rPr>
            </w:pPr>
            <w:r w:rsidRPr="00A906AC">
              <w:rPr>
                <w:color w:val="auto"/>
                <w:sz w:val="24"/>
                <w:szCs w:val="24"/>
              </w:rPr>
              <w:t>dr. Sabina Jelenc Krašovec</w:t>
            </w:r>
          </w:p>
          <w:p w:rsidR="00AD6C58" w:rsidRPr="00A906AC" w:rsidRDefault="00E00F57" w:rsidP="00DF5460">
            <w:pPr>
              <w:rPr>
                <w:color w:val="auto"/>
                <w:sz w:val="24"/>
                <w:szCs w:val="24"/>
              </w:rPr>
            </w:pPr>
            <w:r w:rsidRPr="00A906AC">
              <w:rPr>
                <w:color w:val="auto"/>
                <w:sz w:val="24"/>
                <w:szCs w:val="24"/>
              </w:rPr>
              <w:t>Špela Močilnikar</w:t>
            </w:r>
            <w:r w:rsidRPr="00A906AC">
              <w:rPr>
                <w:color w:val="auto"/>
                <w:sz w:val="24"/>
                <w:szCs w:val="24"/>
              </w:rPr>
              <w:br/>
            </w:r>
            <w:r w:rsidR="00AA58D3" w:rsidRPr="00A906AC">
              <w:rPr>
                <w:color w:val="auto"/>
                <w:sz w:val="24"/>
                <w:szCs w:val="24"/>
              </w:rPr>
              <w:t xml:space="preserve">dr. </w:t>
            </w:r>
            <w:r w:rsidRPr="00A906AC">
              <w:rPr>
                <w:color w:val="auto"/>
                <w:sz w:val="24"/>
                <w:szCs w:val="24"/>
              </w:rPr>
              <w:t>Marko Radovan</w:t>
            </w:r>
          </w:p>
        </w:tc>
      </w:tr>
    </w:tbl>
    <w:p w:rsidR="00782702" w:rsidRPr="00A906AC" w:rsidRDefault="00782702" w:rsidP="00DF5460">
      <w:pPr>
        <w:rPr>
          <w:sz w:val="24"/>
          <w:szCs w:val="24"/>
        </w:rPr>
      </w:pPr>
    </w:p>
    <w:tbl>
      <w:tblPr>
        <w:tblStyle w:val="Tabelaraportuostanie"/>
        <w:tblW w:w="5000" w:type="pct"/>
        <w:tblLook w:val="04A0" w:firstRow="1" w:lastRow="0" w:firstColumn="1" w:lastColumn="0" w:noHBand="0" w:noVBand="1"/>
      </w:tblPr>
      <w:tblGrid>
        <w:gridCol w:w="2702"/>
        <w:gridCol w:w="3507"/>
        <w:gridCol w:w="3504"/>
      </w:tblGrid>
      <w:tr w:rsidR="00782702" w:rsidRPr="008D5676" w:rsidTr="00A906AC">
        <w:trPr>
          <w:cnfStyle w:val="100000000000" w:firstRow="1" w:lastRow="0" w:firstColumn="0" w:lastColumn="0" w:oddVBand="0" w:evenVBand="0" w:oddHBand="0" w:evenHBand="0" w:firstRowFirstColumn="0" w:firstRowLastColumn="0" w:lastRowFirstColumn="0" w:lastRowLastColumn="0"/>
        </w:trPr>
        <w:tc>
          <w:tcPr>
            <w:tcW w:w="9572" w:type="dxa"/>
            <w:gridSpan w:val="3"/>
          </w:tcPr>
          <w:p w:rsidR="00782702" w:rsidRPr="00A906AC" w:rsidRDefault="00625F3D" w:rsidP="00DF5460">
            <w:pPr>
              <w:rPr>
                <w:rFonts w:asciiTheme="minorHAnsi" w:hAnsiTheme="minorHAnsi"/>
                <w:sz w:val="24"/>
                <w:szCs w:val="24"/>
              </w:rPr>
            </w:pPr>
            <w:r w:rsidRPr="00A906AC">
              <w:rPr>
                <w:sz w:val="24"/>
                <w:szCs w:val="24"/>
              </w:rPr>
              <w:t>poslano</w:t>
            </w:r>
            <w:r w:rsidR="00782702" w:rsidRPr="00A906AC">
              <w:rPr>
                <w:sz w:val="24"/>
                <w:szCs w:val="24"/>
              </w:rPr>
              <w:t xml:space="preserve">  </w:t>
            </w:r>
          </w:p>
        </w:tc>
      </w:tr>
      <w:tr w:rsidR="00782702" w:rsidRPr="008D5676" w:rsidTr="00A906AC">
        <w:tc>
          <w:tcPr>
            <w:tcW w:w="2663" w:type="dxa"/>
          </w:tcPr>
          <w:p w:rsidR="00782702" w:rsidRPr="00A906AC" w:rsidRDefault="00782702" w:rsidP="00DF5460">
            <w:pPr>
              <w:rPr>
                <w:color w:val="auto"/>
                <w:sz w:val="24"/>
                <w:szCs w:val="24"/>
              </w:rPr>
            </w:pPr>
            <w:r w:rsidRPr="00A906AC">
              <w:rPr>
                <w:color w:val="auto"/>
                <w:sz w:val="24"/>
                <w:szCs w:val="24"/>
              </w:rPr>
              <w:t>Jun</w:t>
            </w:r>
            <w:r w:rsidR="00625F3D" w:rsidRPr="00A906AC">
              <w:rPr>
                <w:color w:val="auto"/>
                <w:sz w:val="24"/>
                <w:szCs w:val="24"/>
              </w:rPr>
              <w:t>ij</w:t>
            </w:r>
            <w:r w:rsidRPr="00A906AC">
              <w:rPr>
                <w:color w:val="auto"/>
                <w:sz w:val="24"/>
                <w:szCs w:val="24"/>
              </w:rPr>
              <w:t xml:space="preserve"> 2018</w:t>
            </w:r>
          </w:p>
        </w:tc>
        <w:tc>
          <w:tcPr>
            <w:tcW w:w="3456" w:type="dxa"/>
          </w:tcPr>
          <w:p w:rsidR="00782702" w:rsidRPr="00A906AC" w:rsidRDefault="00782702" w:rsidP="00DF5460">
            <w:pPr>
              <w:rPr>
                <w:color w:val="auto"/>
                <w:sz w:val="24"/>
                <w:szCs w:val="24"/>
              </w:rPr>
            </w:pPr>
          </w:p>
        </w:tc>
        <w:tc>
          <w:tcPr>
            <w:tcW w:w="3453" w:type="dxa"/>
          </w:tcPr>
          <w:p w:rsidR="00782702" w:rsidRPr="00A906AC" w:rsidRDefault="00782702" w:rsidP="00DF5460">
            <w:pPr>
              <w:rPr>
                <w:color w:val="auto"/>
                <w:sz w:val="24"/>
                <w:szCs w:val="24"/>
              </w:rPr>
            </w:pPr>
          </w:p>
        </w:tc>
      </w:tr>
    </w:tbl>
    <w:p w:rsidR="007001BD" w:rsidRPr="00A906AC" w:rsidRDefault="00FC3994" w:rsidP="00DF5460">
      <w:pPr>
        <w:pStyle w:val="nagwek1"/>
        <w:numPr>
          <w:ilvl w:val="0"/>
          <w:numId w:val="8"/>
        </w:numPr>
        <w:spacing w:after="120" w:line="276" w:lineRule="auto"/>
        <w:rPr>
          <w:rFonts w:asciiTheme="minorHAnsi" w:hAnsiTheme="minorHAnsi"/>
          <w:b/>
          <w:sz w:val="24"/>
          <w:szCs w:val="24"/>
        </w:rPr>
      </w:pPr>
      <w:r w:rsidRPr="00A906AC">
        <w:rPr>
          <w:rFonts w:asciiTheme="minorHAnsi" w:hAnsiTheme="minorHAnsi"/>
          <w:b/>
          <w:sz w:val="24"/>
          <w:szCs w:val="24"/>
        </w:rPr>
        <w:lastRenderedPageBreak/>
        <w:t xml:space="preserve"> </w:t>
      </w:r>
      <w:r w:rsidR="00625F3D" w:rsidRPr="00A906AC">
        <w:rPr>
          <w:rFonts w:asciiTheme="minorHAnsi" w:hAnsiTheme="minorHAnsi"/>
          <w:b/>
          <w:sz w:val="24"/>
          <w:szCs w:val="24"/>
        </w:rPr>
        <w:t xml:space="preserve">Uvod </w:t>
      </w:r>
    </w:p>
    <w:p w:rsidR="00DF41DA" w:rsidRPr="008D5676" w:rsidRDefault="00276BC7" w:rsidP="00EA289D">
      <w:pPr>
        <w:pStyle w:val="bodytext"/>
        <w:spacing w:before="0" w:beforeAutospacing="0" w:after="120" w:afterAutospacing="0" w:line="276" w:lineRule="auto"/>
        <w:jc w:val="both"/>
        <w:rPr>
          <w:rFonts w:asciiTheme="minorHAnsi" w:hAnsiTheme="minorHAnsi" w:cs="Arial"/>
        </w:rPr>
      </w:pPr>
      <w:r w:rsidRPr="00A906AC">
        <w:rPr>
          <w:rFonts w:asciiTheme="minorHAnsi" w:hAnsiTheme="minorHAnsi" w:cs="Arial"/>
        </w:rPr>
        <w:t>Starajoče se prebivalstvo in dolgoživa družba prinašata številne izzive</w:t>
      </w:r>
      <w:r w:rsidR="001A0256" w:rsidRPr="00A906AC">
        <w:rPr>
          <w:rFonts w:asciiTheme="minorHAnsi" w:hAnsiTheme="minorHAnsi" w:cs="Arial"/>
        </w:rPr>
        <w:t>,</w:t>
      </w:r>
      <w:r w:rsidRPr="00A906AC">
        <w:rPr>
          <w:rFonts w:asciiTheme="minorHAnsi" w:hAnsiTheme="minorHAnsi" w:cs="Arial"/>
        </w:rPr>
        <w:t xml:space="preserve"> </w:t>
      </w:r>
      <w:r w:rsidR="001A0256" w:rsidRPr="00A906AC">
        <w:rPr>
          <w:rFonts w:asciiTheme="minorHAnsi" w:hAnsiTheme="minorHAnsi" w:cs="Arial"/>
        </w:rPr>
        <w:t xml:space="preserve">med katere </w:t>
      </w:r>
      <w:r w:rsidR="00EA289D" w:rsidRPr="00A906AC">
        <w:rPr>
          <w:rFonts w:asciiTheme="minorHAnsi" w:hAnsiTheme="minorHAnsi" w:cs="Arial"/>
        </w:rPr>
        <w:t>spadajo</w:t>
      </w:r>
      <w:r w:rsidR="001A0256" w:rsidRPr="00A906AC">
        <w:rPr>
          <w:rFonts w:asciiTheme="minorHAnsi" w:hAnsiTheme="minorHAnsi" w:cs="Arial"/>
        </w:rPr>
        <w:t xml:space="preserve"> k</w:t>
      </w:r>
      <w:r w:rsidRPr="00A906AC">
        <w:rPr>
          <w:rFonts w:asciiTheme="minorHAnsi" w:hAnsiTheme="minorHAnsi" w:cs="Arial"/>
        </w:rPr>
        <w:t>akovost življenja</w:t>
      </w:r>
      <w:r w:rsidR="001A0256" w:rsidRPr="00A906AC">
        <w:rPr>
          <w:rFonts w:asciiTheme="minorHAnsi" w:hAnsiTheme="minorHAnsi" w:cs="Arial"/>
        </w:rPr>
        <w:t xml:space="preserve"> starejših odraslih, njihova</w:t>
      </w:r>
      <w:r w:rsidRPr="00A906AC">
        <w:rPr>
          <w:rFonts w:asciiTheme="minorHAnsi" w:hAnsiTheme="minorHAnsi" w:cs="Arial"/>
        </w:rPr>
        <w:t xml:space="preserve"> finančna varnost, socialna vključenost, obstoj in </w:t>
      </w:r>
      <w:r w:rsidR="00F858A8" w:rsidRPr="00A906AC">
        <w:rPr>
          <w:rFonts w:asciiTheme="minorHAnsi" w:hAnsiTheme="minorHAnsi" w:cs="Arial"/>
        </w:rPr>
        <w:t>dostopnost socialne oskrbe ter</w:t>
      </w:r>
      <w:r w:rsidRPr="00A906AC">
        <w:rPr>
          <w:rFonts w:asciiTheme="minorHAnsi" w:hAnsiTheme="minorHAnsi" w:cs="Arial"/>
        </w:rPr>
        <w:t xml:space="preserve"> zdravstvenih st</w:t>
      </w:r>
      <w:r w:rsidR="00F858A8" w:rsidRPr="00A906AC">
        <w:rPr>
          <w:rFonts w:asciiTheme="minorHAnsi" w:hAnsiTheme="minorHAnsi" w:cs="Arial"/>
        </w:rPr>
        <w:t>oritev</w:t>
      </w:r>
      <w:r w:rsidR="001A0256" w:rsidRPr="00A906AC">
        <w:rPr>
          <w:rFonts w:asciiTheme="minorHAnsi" w:hAnsiTheme="minorHAnsi" w:cs="Arial"/>
        </w:rPr>
        <w:t xml:space="preserve">. </w:t>
      </w:r>
      <w:r w:rsidR="00760741" w:rsidRPr="00A906AC">
        <w:rPr>
          <w:rFonts w:asciiTheme="minorHAnsi" w:hAnsiTheme="minorHAnsi" w:cs="Arial"/>
        </w:rPr>
        <w:t xml:space="preserve">Prav tako </w:t>
      </w:r>
      <w:r w:rsidR="007458A5" w:rsidRPr="00A906AC">
        <w:rPr>
          <w:rFonts w:asciiTheme="minorHAnsi" w:hAnsiTheme="minorHAnsi" w:cs="Arial"/>
        </w:rPr>
        <w:t>se zastavljajo</w:t>
      </w:r>
      <w:r w:rsidR="00760741" w:rsidRPr="00A906AC">
        <w:rPr>
          <w:rFonts w:asciiTheme="minorHAnsi" w:hAnsiTheme="minorHAnsi" w:cs="Arial"/>
        </w:rPr>
        <w:t xml:space="preserve"> </w:t>
      </w:r>
      <w:r w:rsidR="00F858A8" w:rsidRPr="00A906AC">
        <w:rPr>
          <w:rFonts w:asciiTheme="minorHAnsi" w:hAnsiTheme="minorHAnsi" w:cs="Arial"/>
        </w:rPr>
        <w:t>vprašanja</w:t>
      </w:r>
      <w:r w:rsidR="007458A5" w:rsidRPr="00A906AC">
        <w:rPr>
          <w:rFonts w:asciiTheme="minorHAnsi" w:hAnsiTheme="minorHAnsi" w:cs="Arial"/>
        </w:rPr>
        <w:t xml:space="preserve"> o </w:t>
      </w:r>
      <w:r w:rsidR="00760741" w:rsidRPr="00A906AC">
        <w:rPr>
          <w:rFonts w:asciiTheme="minorHAnsi" w:hAnsiTheme="minorHAnsi" w:cs="Arial"/>
        </w:rPr>
        <w:t xml:space="preserve"> </w:t>
      </w:r>
      <w:r w:rsidR="00760741" w:rsidRPr="00A906AC">
        <w:rPr>
          <w:rFonts w:asciiTheme="minorHAnsi" w:hAnsiTheme="minorHAnsi" w:cs="Arial"/>
          <w:b/>
        </w:rPr>
        <w:t>možnosti</w:t>
      </w:r>
      <w:r w:rsidR="007458A5" w:rsidRPr="00A906AC">
        <w:rPr>
          <w:rFonts w:asciiTheme="minorHAnsi" w:hAnsiTheme="minorHAnsi" w:cs="Arial"/>
          <w:b/>
        </w:rPr>
        <w:t xml:space="preserve">h </w:t>
      </w:r>
      <w:r w:rsidRPr="00A906AC">
        <w:rPr>
          <w:rFonts w:asciiTheme="minorHAnsi" w:hAnsiTheme="minorHAnsi" w:cs="Arial"/>
          <w:b/>
        </w:rPr>
        <w:t>vključenost</w:t>
      </w:r>
      <w:r w:rsidR="007458A5" w:rsidRPr="00A906AC">
        <w:rPr>
          <w:rFonts w:asciiTheme="minorHAnsi" w:hAnsiTheme="minorHAnsi" w:cs="Arial"/>
          <w:b/>
        </w:rPr>
        <w:t>i</w:t>
      </w:r>
      <w:r w:rsidRPr="00A906AC">
        <w:rPr>
          <w:rFonts w:asciiTheme="minorHAnsi" w:hAnsiTheme="minorHAnsi" w:cs="Arial"/>
          <w:b/>
        </w:rPr>
        <w:t xml:space="preserve"> starejših</w:t>
      </w:r>
      <w:r w:rsidR="00760741" w:rsidRPr="00A906AC">
        <w:rPr>
          <w:rFonts w:asciiTheme="minorHAnsi" w:hAnsiTheme="minorHAnsi" w:cs="Arial"/>
          <w:b/>
        </w:rPr>
        <w:t xml:space="preserve"> odraslih</w:t>
      </w:r>
      <w:r w:rsidRPr="00A906AC">
        <w:rPr>
          <w:rFonts w:asciiTheme="minorHAnsi" w:hAnsiTheme="minorHAnsi" w:cs="Arial"/>
          <w:b/>
        </w:rPr>
        <w:t xml:space="preserve"> </w:t>
      </w:r>
      <w:r w:rsidR="00760741" w:rsidRPr="00A906AC">
        <w:rPr>
          <w:rFonts w:asciiTheme="minorHAnsi" w:hAnsiTheme="minorHAnsi" w:cs="Arial"/>
          <w:b/>
        </w:rPr>
        <w:t xml:space="preserve">v družbo </w:t>
      </w:r>
      <w:r w:rsidRPr="00A906AC">
        <w:rPr>
          <w:rFonts w:asciiTheme="minorHAnsi" w:hAnsiTheme="minorHAnsi" w:cs="Arial"/>
          <w:b/>
        </w:rPr>
        <w:t>kot aktivnih in enakopravnih članov</w:t>
      </w:r>
      <w:r w:rsidRPr="00A906AC">
        <w:rPr>
          <w:rFonts w:asciiTheme="minorHAnsi" w:hAnsiTheme="minorHAnsi" w:cs="Arial"/>
        </w:rPr>
        <w:t>, ki lahko pri</w:t>
      </w:r>
      <w:r w:rsidR="00EA289D" w:rsidRPr="00A906AC">
        <w:rPr>
          <w:rFonts w:asciiTheme="minorHAnsi" w:hAnsiTheme="minorHAnsi" w:cs="Arial"/>
        </w:rPr>
        <w:t>pomore</w:t>
      </w:r>
      <w:r w:rsidRPr="00A906AC">
        <w:rPr>
          <w:rFonts w:asciiTheme="minorHAnsi" w:hAnsiTheme="minorHAnsi" w:cs="Arial"/>
        </w:rPr>
        <w:t xml:space="preserve">jo k razvoju </w:t>
      </w:r>
      <w:r w:rsidR="00EA289D" w:rsidRPr="00A906AC">
        <w:rPr>
          <w:rFonts w:asciiTheme="minorHAnsi" w:hAnsiTheme="minorHAnsi" w:cs="Arial"/>
        </w:rPr>
        <w:t>ter</w:t>
      </w:r>
      <w:r w:rsidRPr="00A906AC">
        <w:rPr>
          <w:rFonts w:asciiTheme="minorHAnsi" w:hAnsiTheme="minorHAnsi" w:cs="Arial"/>
        </w:rPr>
        <w:t xml:space="preserve"> krepijo družb</w:t>
      </w:r>
      <w:r w:rsidR="00F858A8" w:rsidRPr="00A906AC">
        <w:rPr>
          <w:rFonts w:asciiTheme="minorHAnsi" w:hAnsiTheme="minorHAnsi" w:cs="Arial"/>
        </w:rPr>
        <w:t>e</w:t>
      </w:r>
      <w:r w:rsidRPr="00A906AC">
        <w:rPr>
          <w:rFonts w:asciiTheme="minorHAnsi" w:hAnsiTheme="minorHAnsi" w:cs="Arial"/>
        </w:rPr>
        <w:t xml:space="preserve">no </w:t>
      </w:r>
      <w:r w:rsidR="00EA289D" w:rsidRPr="00A906AC">
        <w:rPr>
          <w:rFonts w:asciiTheme="minorHAnsi" w:hAnsiTheme="minorHAnsi" w:cs="Arial"/>
        </w:rPr>
        <w:t>in</w:t>
      </w:r>
      <w:r w:rsidRPr="00A906AC">
        <w:rPr>
          <w:rFonts w:asciiTheme="minorHAnsi" w:hAnsiTheme="minorHAnsi" w:cs="Arial"/>
        </w:rPr>
        <w:t xml:space="preserve"> kulturno bogastvo skupnosti.</w:t>
      </w:r>
    </w:p>
    <w:p w:rsidR="00B55384" w:rsidRPr="008D5676" w:rsidRDefault="00625F3D" w:rsidP="00EA289D">
      <w:pPr>
        <w:pStyle w:val="bodytext"/>
        <w:spacing w:before="0" w:beforeAutospacing="0" w:after="120" w:afterAutospacing="0" w:line="276" w:lineRule="auto"/>
        <w:jc w:val="both"/>
        <w:rPr>
          <w:rFonts w:asciiTheme="minorHAnsi" w:hAnsiTheme="minorHAnsi" w:cs="Arial"/>
        </w:rPr>
      </w:pPr>
      <w:r w:rsidRPr="00A906AC">
        <w:rPr>
          <w:rFonts w:asciiTheme="minorHAnsi" w:hAnsiTheme="minorHAnsi" w:cs="Arial"/>
        </w:rPr>
        <w:t>Starejši ljudje niso nujno (in ne le) upokojeni, nizkoproduktivni ali neproduktivni ter pasivni prejemniki različnih oblik pomoči in podpore države. Takšni stereotipni pogledi na staranje in starejše</w:t>
      </w:r>
      <w:r w:rsidR="00276BC7" w:rsidRPr="00A906AC">
        <w:rPr>
          <w:rFonts w:asciiTheme="minorHAnsi" w:hAnsiTheme="minorHAnsi" w:cs="Arial"/>
        </w:rPr>
        <w:t xml:space="preserve"> ljudi so</w:t>
      </w:r>
      <w:r w:rsidRPr="00A906AC">
        <w:rPr>
          <w:rFonts w:asciiTheme="minorHAnsi" w:hAnsiTheme="minorHAnsi" w:cs="Arial"/>
        </w:rPr>
        <w:t xml:space="preserve"> lahko </w:t>
      </w:r>
      <w:r w:rsidR="00EA289D" w:rsidRPr="00A906AC">
        <w:rPr>
          <w:rFonts w:asciiTheme="minorHAnsi" w:hAnsiTheme="minorHAnsi" w:cs="Arial"/>
        </w:rPr>
        <w:t>skrb zbujajoči</w:t>
      </w:r>
      <w:r w:rsidRPr="00A906AC">
        <w:rPr>
          <w:rFonts w:asciiTheme="minorHAnsi" w:hAnsiTheme="minorHAnsi" w:cs="Arial"/>
        </w:rPr>
        <w:t xml:space="preserve">, saj </w:t>
      </w:r>
      <w:r w:rsidR="00480FD0" w:rsidRPr="00A906AC">
        <w:rPr>
          <w:rFonts w:asciiTheme="minorHAnsi" w:hAnsiTheme="minorHAnsi" w:cs="Arial"/>
        </w:rPr>
        <w:t xml:space="preserve">upokojenci z upokojitvijo ne morejo </w:t>
      </w:r>
      <w:r w:rsidR="00760741" w:rsidRPr="00A906AC">
        <w:rPr>
          <w:rFonts w:asciiTheme="minorHAnsi" w:hAnsiTheme="minorHAnsi" w:cs="Arial"/>
        </w:rPr>
        <w:t xml:space="preserve"> čez noč </w:t>
      </w:r>
      <w:r w:rsidR="00480FD0" w:rsidRPr="00A906AC">
        <w:rPr>
          <w:rFonts w:asciiTheme="minorHAnsi" w:hAnsiTheme="minorHAnsi" w:cs="Arial"/>
        </w:rPr>
        <w:t xml:space="preserve">postati </w:t>
      </w:r>
      <w:r w:rsidR="00760741" w:rsidRPr="00A906AC">
        <w:rPr>
          <w:rFonts w:asciiTheme="minorHAnsi" w:hAnsiTheme="minorHAnsi" w:cs="Arial"/>
        </w:rPr>
        <w:t>nevidn</w:t>
      </w:r>
      <w:r w:rsidR="00480FD0" w:rsidRPr="00A906AC">
        <w:rPr>
          <w:rFonts w:asciiTheme="minorHAnsi" w:hAnsiTheme="minorHAnsi" w:cs="Arial"/>
        </w:rPr>
        <w:t>i</w:t>
      </w:r>
      <w:r w:rsidRPr="00A906AC">
        <w:rPr>
          <w:rFonts w:asciiTheme="minorHAnsi" w:hAnsiTheme="minorHAnsi" w:cs="Arial"/>
        </w:rPr>
        <w:t>, nem</w:t>
      </w:r>
      <w:r w:rsidR="00480FD0" w:rsidRPr="00A906AC">
        <w:rPr>
          <w:rFonts w:asciiTheme="minorHAnsi" w:hAnsiTheme="minorHAnsi" w:cs="Arial"/>
        </w:rPr>
        <w:t>i</w:t>
      </w:r>
      <w:r w:rsidRPr="00A906AC">
        <w:rPr>
          <w:rFonts w:asciiTheme="minorHAnsi" w:hAnsiTheme="minorHAnsi" w:cs="Arial"/>
        </w:rPr>
        <w:t xml:space="preserve"> in neobstoječ</w:t>
      </w:r>
      <w:r w:rsidR="00480FD0" w:rsidRPr="00A906AC">
        <w:rPr>
          <w:rFonts w:asciiTheme="minorHAnsi" w:hAnsiTheme="minorHAnsi" w:cs="Arial"/>
        </w:rPr>
        <w:t>i</w:t>
      </w:r>
      <w:r w:rsidRPr="00A906AC">
        <w:rPr>
          <w:rFonts w:asciiTheme="minorHAnsi" w:hAnsiTheme="minorHAnsi" w:cs="Arial"/>
        </w:rPr>
        <w:t xml:space="preserve"> (Krajnc, 2016). N</w:t>
      </w:r>
      <w:r w:rsidR="000F218B" w:rsidRPr="00A906AC">
        <w:rPr>
          <w:rFonts w:asciiTheme="minorHAnsi" w:hAnsiTheme="minorHAnsi" w:cs="Arial"/>
        </w:rPr>
        <w:t>asprotno: učenje, povezanost z družbenim</w:t>
      </w:r>
      <w:r w:rsidRPr="00A906AC">
        <w:rPr>
          <w:rFonts w:asciiTheme="minorHAnsi" w:hAnsiTheme="minorHAnsi" w:cs="Arial"/>
        </w:rPr>
        <w:t xml:space="preserve"> okoljem, socialn</w:t>
      </w:r>
      <w:r w:rsidR="000F218B" w:rsidRPr="00A906AC">
        <w:rPr>
          <w:rFonts w:asciiTheme="minorHAnsi" w:hAnsiTheme="minorHAnsi" w:cs="Arial"/>
        </w:rPr>
        <w:t xml:space="preserve">a vključevanost in sodelovanje so osrednji dejavniki, ki krepijo </w:t>
      </w:r>
      <w:r w:rsidRPr="00A906AC">
        <w:rPr>
          <w:rFonts w:asciiTheme="minorHAnsi" w:hAnsiTheme="minorHAnsi" w:cs="Arial"/>
        </w:rPr>
        <w:t>duševn</w:t>
      </w:r>
      <w:r w:rsidR="000F218B" w:rsidRPr="00A906AC">
        <w:rPr>
          <w:rFonts w:asciiTheme="minorHAnsi" w:hAnsiTheme="minorHAnsi" w:cs="Arial"/>
        </w:rPr>
        <w:t>o</w:t>
      </w:r>
      <w:r w:rsidRPr="00A906AC">
        <w:rPr>
          <w:rFonts w:asciiTheme="minorHAnsi" w:hAnsiTheme="minorHAnsi" w:cs="Arial"/>
        </w:rPr>
        <w:t xml:space="preserve"> zdravj</w:t>
      </w:r>
      <w:r w:rsidR="000F218B" w:rsidRPr="00A906AC">
        <w:rPr>
          <w:rFonts w:asciiTheme="minorHAnsi" w:hAnsiTheme="minorHAnsi" w:cs="Arial"/>
        </w:rPr>
        <w:t>e</w:t>
      </w:r>
      <w:r w:rsidRPr="00A906AC">
        <w:rPr>
          <w:rFonts w:asciiTheme="minorHAnsi" w:hAnsiTheme="minorHAnsi" w:cs="Arial"/>
        </w:rPr>
        <w:t>, čustven</w:t>
      </w:r>
      <w:r w:rsidR="000F218B" w:rsidRPr="00A906AC">
        <w:rPr>
          <w:rFonts w:asciiTheme="minorHAnsi" w:hAnsiTheme="minorHAnsi" w:cs="Arial"/>
        </w:rPr>
        <w:t>o</w:t>
      </w:r>
      <w:r w:rsidRPr="00A906AC">
        <w:rPr>
          <w:rFonts w:asciiTheme="minorHAnsi" w:hAnsiTheme="minorHAnsi" w:cs="Arial"/>
        </w:rPr>
        <w:t xml:space="preserve"> bogastv</w:t>
      </w:r>
      <w:r w:rsidR="000F218B" w:rsidRPr="00A906AC">
        <w:rPr>
          <w:rFonts w:asciiTheme="minorHAnsi" w:hAnsiTheme="minorHAnsi" w:cs="Arial"/>
        </w:rPr>
        <w:t>o, kognitivni, družbeni</w:t>
      </w:r>
      <w:r w:rsidRPr="00A906AC">
        <w:rPr>
          <w:rFonts w:asciiTheme="minorHAnsi" w:hAnsiTheme="minorHAnsi" w:cs="Arial"/>
        </w:rPr>
        <w:t xml:space="preserve"> in človešk</w:t>
      </w:r>
      <w:r w:rsidR="000F218B" w:rsidRPr="00A906AC">
        <w:rPr>
          <w:rFonts w:asciiTheme="minorHAnsi" w:hAnsiTheme="minorHAnsi" w:cs="Arial"/>
        </w:rPr>
        <w:t xml:space="preserve">i </w:t>
      </w:r>
      <w:r w:rsidRPr="00A906AC">
        <w:rPr>
          <w:rFonts w:asciiTheme="minorHAnsi" w:hAnsiTheme="minorHAnsi" w:cs="Arial"/>
        </w:rPr>
        <w:t>kapital kot tudi kakovost življenja, pozitivn</w:t>
      </w:r>
      <w:r w:rsidR="000F218B" w:rsidRPr="00A906AC">
        <w:rPr>
          <w:rFonts w:asciiTheme="minorHAnsi" w:hAnsiTheme="minorHAnsi" w:cs="Arial"/>
        </w:rPr>
        <w:t>o</w:t>
      </w:r>
      <w:r w:rsidRPr="00A906AC">
        <w:rPr>
          <w:rFonts w:asciiTheme="minorHAnsi" w:hAnsiTheme="minorHAnsi" w:cs="Arial"/>
        </w:rPr>
        <w:t xml:space="preserve"> samopodob</w:t>
      </w:r>
      <w:r w:rsidR="000F218B" w:rsidRPr="00A906AC">
        <w:rPr>
          <w:rFonts w:asciiTheme="minorHAnsi" w:hAnsiTheme="minorHAnsi" w:cs="Arial"/>
        </w:rPr>
        <w:t>o</w:t>
      </w:r>
      <w:r w:rsidRPr="00A906AC">
        <w:rPr>
          <w:rFonts w:asciiTheme="minorHAnsi" w:hAnsiTheme="minorHAnsi" w:cs="Arial"/>
        </w:rPr>
        <w:t xml:space="preserve"> in samozavest, vrednot</w:t>
      </w:r>
      <w:r w:rsidR="000F218B" w:rsidRPr="00A906AC">
        <w:rPr>
          <w:rFonts w:asciiTheme="minorHAnsi" w:hAnsiTheme="minorHAnsi" w:cs="Arial"/>
        </w:rPr>
        <w:t>e</w:t>
      </w:r>
      <w:r w:rsidRPr="00A906AC">
        <w:rPr>
          <w:rFonts w:asciiTheme="minorHAnsi" w:hAnsiTheme="minorHAnsi" w:cs="Arial"/>
        </w:rPr>
        <w:t xml:space="preserve"> in stališča it</w:t>
      </w:r>
      <w:r w:rsidR="000F218B" w:rsidRPr="00A906AC">
        <w:rPr>
          <w:rFonts w:asciiTheme="minorHAnsi" w:hAnsiTheme="minorHAnsi" w:cs="Arial"/>
        </w:rPr>
        <w:t>n</w:t>
      </w:r>
      <w:r w:rsidRPr="00A906AC">
        <w:rPr>
          <w:rFonts w:asciiTheme="minorHAnsi" w:hAnsiTheme="minorHAnsi" w:cs="Arial"/>
        </w:rPr>
        <w:t>.</w:t>
      </w:r>
      <w:r w:rsidR="00480FD0" w:rsidRPr="00A906AC">
        <w:rPr>
          <w:rFonts w:asciiTheme="minorHAnsi" w:hAnsiTheme="minorHAnsi" w:cs="Arial"/>
        </w:rPr>
        <w:t xml:space="preserve"> starejših odraslih</w:t>
      </w:r>
      <w:r w:rsidRPr="00A906AC">
        <w:rPr>
          <w:rFonts w:asciiTheme="minorHAnsi" w:hAnsiTheme="minorHAnsi" w:cs="Arial"/>
        </w:rPr>
        <w:t xml:space="preserve"> (Merriam in Kee, 2014; Schuller in Desjardins, 2007; Tett in Maclachlan, 2007; Golding, 2011a</w:t>
      </w:r>
      <w:r w:rsidR="00F30058" w:rsidRPr="00A906AC">
        <w:rPr>
          <w:rFonts w:asciiTheme="minorHAnsi" w:hAnsiTheme="minorHAnsi" w:cs="Arial"/>
        </w:rPr>
        <w:t>;</w:t>
      </w:r>
      <w:r w:rsidRPr="00A906AC">
        <w:rPr>
          <w:rFonts w:asciiTheme="minorHAnsi" w:hAnsiTheme="minorHAnsi" w:cs="Arial"/>
        </w:rPr>
        <w:t xml:space="preserve"> 2011b, Project Foresight Mental Capital and Wellbeing, 2008; Williamson, 2011</w:t>
      </w:r>
      <w:r w:rsidR="00F30058" w:rsidRPr="00A906AC">
        <w:rPr>
          <w:rFonts w:asciiTheme="minorHAnsi" w:hAnsiTheme="minorHAnsi" w:cs="Arial"/>
        </w:rPr>
        <w:t xml:space="preserve">). </w:t>
      </w:r>
    </w:p>
    <w:p w:rsidR="00B55384" w:rsidRPr="008D5676" w:rsidRDefault="00625F3D" w:rsidP="00EA289D">
      <w:pPr>
        <w:pStyle w:val="bodytext"/>
        <w:spacing w:before="0" w:beforeAutospacing="0" w:after="120" w:afterAutospacing="0" w:line="276" w:lineRule="auto"/>
        <w:jc w:val="both"/>
        <w:rPr>
          <w:rFonts w:asciiTheme="minorHAnsi" w:hAnsiTheme="minorHAnsi" w:cs="Arial"/>
        </w:rPr>
      </w:pPr>
      <w:r w:rsidRPr="00A906AC">
        <w:rPr>
          <w:rFonts w:asciiTheme="minorHAnsi" w:hAnsiTheme="minorHAnsi" w:cs="Arial"/>
        </w:rPr>
        <w:t xml:space="preserve">S tem ko </w:t>
      </w:r>
      <w:r w:rsidR="00B55384" w:rsidRPr="00A906AC">
        <w:rPr>
          <w:rFonts w:asciiTheme="minorHAnsi" w:hAnsiTheme="minorHAnsi" w:cs="Arial"/>
        </w:rPr>
        <w:t xml:space="preserve">starejšim </w:t>
      </w:r>
      <w:r w:rsidR="00760741" w:rsidRPr="00A906AC">
        <w:rPr>
          <w:rFonts w:asciiTheme="minorHAnsi" w:hAnsiTheme="minorHAnsi" w:cs="Arial"/>
        </w:rPr>
        <w:t xml:space="preserve">odraslim </w:t>
      </w:r>
      <w:r w:rsidR="00B55384" w:rsidRPr="00A906AC">
        <w:rPr>
          <w:rFonts w:asciiTheme="minorHAnsi" w:hAnsiTheme="minorHAnsi" w:cs="Arial"/>
        </w:rPr>
        <w:t>onemogočamo,</w:t>
      </w:r>
      <w:r w:rsidRPr="00A906AC">
        <w:rPr>
          <w:rFonts w:asciiTheme="minorHAnsi" w:hAnsiTheme="minorHAnsi" w:cs="Arial"/>
        </w:rPr>
        <w:t xml:space="preserve"> da bi </w:t>
      </w:r>
      <w:r w:rsidR="00B55384" w:rsidRPr="00A906AC">
        <w:rPr>
          <w:rFonts w:asciiTheme="minorHAnsi" w:hAnsiTheme="minorHAnsi" w:cs="Arial"/>
        </w:rPr>
        <w:t xml:space="preserve">polno zaživeli </w:t>
      </w:r>
      <w:r w:rsidRPr="00A906AC">
        <w:rPr>
          <w:rFonts w:asciiTheme="minorHAnsi" w:hAnsiTheme="minorHAnsi" w:cs="Arial"/>
        </w:rPr>
        <w:t>novo življenjsko situa</w:t>
      </w:r>
      <w:r w:rsidR="00B55384" w:rsidRPr="00A906AC">
        <w:rPr>
          <w:rFonts w:asciiTheme="minorHAnsi" w:hAnsiTheme="minorHAnsi" w:cs="Arial"/>
        </w:rPr>
        <w:t>cijo</w:t>
      </w:r>
      <w:r w:rsidR="00EA289D" w:rsidRPr="00A906AC">
        <w:rPr>
          <w:rFonts w:asciiTheme="minorHAnsi" w:hAnsiTheme="minorHAnsi" w:cs="Arial"/>
        </w:rPr>
        <w:t>,</w:t>
      </w:r>
      <w:r w:rsidR="00B55384" w:rsidRPr="00A906AC">
        <w:rPr>
          <w:rFonts w:asciiTheme="minorHAnsi" w:hAnsiTheme="minorHAnsi" w:cs="Arial"/>
        </w:rPr>
        <w:t xml:space="preserve"> v katero vstopajo, jih sil</w:t>
      </w:r>
      <w:r w:rsidRPr="00A906AC">
        <w:rPr>
          <w:rFonts w:asciiTheme="minorHAnsi" w:hAnsiTheme="minorHAnsi" w:cs="Arial"/>
        </w:rPr>
        <w:t xml:space="preserve">imo v socialno in psihološko </w:t>
      </w:r>
      <w:r w:rsidR="00B55384" w:rsidRPr="00A906AC">
        <w:rPr>
          <w:rFonts w:asciiTheme="minorHAnsi" w:hAnsiTheme="minorHAnsi" w:cs="Arial"/>
        </w:rPr>
        <w:t>smrt</w:t>
      </w:r>
      <w:r w:rsidRPr="00A906AC">
        <w:rPr>
          <w:rFonts w:asciiTheme="minorHAnsi" w:hAnsiTheme="minorHAnsi" w:cs="Arial"/>
        </w:rPr>
        <w:t>, ta pa je lahko uničujoča ne le zanje</w:t>
      </w:r>
      <w:r w:rsidR="00EA289D" w:rsidRPr="00A906AC">
        <w:rPr>
          <w:rFonts w:asciiTheme="minorHAnsi" w:hAnsiTheme="minorHAnsi" w:cs="Arial"/>
        </w:rPr>
        <w:t>,</w:t>
      </w:r>
      <w:r w:rsidRPr="00A906AC">
        <w:rPr>
          <w:rFonts w:asciiTheme="minorHAnsi" w:hAnsiTheme="minorHAnsi" w:cs="Arial"/>
        </w:rPr>
        <w:t xml:space="preserve"> temveč tudi za našo družbo in držav</w:t>
      </w:r>
      <w:r w:rsidR="00760741" w:rsidRPr="00A906AC">
        <w:rPr>
          <w:rFonts w:asciiTheme="minorHAnsi" w:hAnsiTheme="minorHAnsi" w:cs="Arial"/>
        </w:rPr>
        <w:t xml:space="preserve">o (Krajnc, 2016). </w:t>
      </w:r>
      <w:r w:rsidR="009945EC" w:rsidRPr="00A906AC">
        <w:rPr>
          <w:rFonts w:asciiTheme="minorHAnsi" w:hAnsiTheme="minorHAnsi" w:cs="Arial"/>
        </w:rPr>
        <w:t>Zato</w:t>
      </w:r>
      <w:r w:rsidR="00760741" w:rsidRPr="00A906AC">
        <w:rPr>
          <w:rFonts w:asciiTheme="minorHAnsi" w:hAnsiTheme="minorHAnsi" w:cs="Arial"/>
        </w:rPr>
        <w:t xml:space="preserve"> s</w:t>
      </w:r>
      <w:r w:rsidRPr="00A906AC">
        <w:rPr>
          <w:rFonts w:asciiTheme="minorHAnsi" w:hAnsiTheme="minorHAnsi" w:cs="Arial"/>
        </w:rPr>
        <w:t xml:space="preserve"> projekt</w:t>
      </w:r>
      <w:r w:rsidR="00760741" w:rsidRPr="00A906AC">
        <w:rPr>
          <w:rFonts w:asciiTheme="minorHAnsi" w:hAnsiTheme="minorHAnsi" w:cs="Arial"/>
        </w:rPr>
        <w:t>om</w:t>
      </w:r>
      <w:r w:rsidRPr="00A906AC">
        <w:rPr>
          <w:rFonts w:asciiTheme="minorHAnsi" w:hAnsiTheme="minorHAnsi" w:cs="Arial"/>
        </w:rPr>
        <w:t xml:space="preserve"> </w:t>
      </w:r>
      <w:r w:rsidRPr="00A906AC">
        <w:rPr>
          <w:rFonts w:asciiTheme="minorHAnsi" w:hAnsiTheme="minorHAnsi" w:cs="Arial"/>
          <w:i/>
        </w:rPr>
        <w:t>Old Guys Say Yes to Community</w:t>
      </w:r>
      <w:r w:rsidR="00B55384" w:rsidRPr="00A906AC">
        <w:rPr>
          <w:rFonts w:asciiTheme="minorHAnsi" w:hAnsiTheme="minorHAnsi" w:cs="Arial"/>
        </w:rPr>
        <w:t>, ki smo ga razvili s partnerji iz Poljske, Estonije in Portuga</w:t>
      </w:r>
      <w:r w:rsidR="009945EC" w:rsidRPr="00A906AC">
        <w:rPr>
          <w:rFonts w:asciiTheme="minorHAnsi" w:hAnsiTheme="minorHAnsi" w:cs="Arial"/>
        </w:rPr>
        <w:t>l</w:t>
      </w:r>
      <w:r w:rsidR="00B55384" w:rsidRPr="00A906AC">
        <w:rPr>
          <w:rFonts w:asciiTheme="minorHAnsi" w:hAnsiTheme="minorHAnsi" w:cs="Arial"/>
        </w:rPr>
        <w:t>ske,</w:t>
      </w:r>
      <w:r w:rsidRPr="00A906AC">
        <w:rPr>
          <w:rFonts w:asciiTheme="minorHAnsi" w:hAnsiTheme="minorHAnsi" w:cs="Arial"/>
        </w:rPr>
        <w:t xml:space="preserve"> razkriva</w:t>
      </w:r>
      <w:r w:rsidR="00760741" w:rsidRPr="00A906AC">
        <w:rPr>
          <w:rFonts w:asciiTheme="minorHAnsi" w:hAnsiTheme="minorHAnsi" w:cs="Arial"/>
        </w:rPr>
        <w:t>mo</w:t>
      </w:r>
      <w:r w:rsidRPr="00A906AC">
        <w:rPr>
          <w:rFonts w:asciiTheme="minorHAnsi" w:hAnsiTheme="minorHAnsi" w:cs="Arial"/>
        </w:rPr>
        <w:t xml:space="preserve"> napake in izgubljene priložnosti, </w:t>
      </w:r>
      <w:r w:rsidR="00760741" w:rsidRPr="00A906AC">
        <w:rPr>
          <w:rFonts w:asciiTheme="minorHAnsi" w:hAnsiTheme="minorHAnsi" w:cs="Arial"/>
        </w:rPr>
        <w:t>hkrati pa</w:t>
      </w:r>
      <w:r w:rsidRPr="00A906AC">
        <w:rPr>
          <w:rFonts w:asciiTheme="minorHAnsi" w:hAnsiTheme="minorHAnsi" w:cs="Arial"/>
        </w:rPr>
        <w:t xml:space="preserve"> ponuja</w:t>
      </w:r>
      <w:r w:rsidR="00760741" w:rsidRPr="00A906AC">
        <w:rPr>
          <w:rFonts w:asciiTheme="minorHAnsi" w:hAnsiTheme="minorHAnsi" w:cs="Arial"/>
        </w:rPr>
        <w:t>mo</w:t>
      </w:r>
      <w:r w:rsidRPr="00A906AC">
        <w:rPr>
          <w:rFonts w:asciiTheme="minorHAnsi" w:hAnsiTheme="minorHAnsi" w:cs="Arial"/>
        </w:rPr>
        <w:t xml:space="preserve"> tudi možnosti, predloge in dobre prakse za spodbujanje </w:t>
      </w:r>
      <w:r w:rsidR="00B55384" w:rsidRPr="00A906AC">
        <w:rPr>
          <w:rFonts w:asciiTheme="minorHAnsi" w:hAnsiTheme="minorHAnsi" w:cs="Arial"/>
        </w:rPr>
        <w:t xml:space="preserve">participacije </w:t>
      </w:r>
      <w:r w:rsidRPr="00A906AC">
        <w:rPr>
          <w:rFonts w:asciiTheme="minorHAnsi" w:hAnsiTheme="minorHAnsi" w:cs="Arial"/>
        </w:rPr>
        <w:t>sta</w:t>
      </w:r>
      <w:r w:rsidR="00B55384" w:rsidRPr="00A906AC">
        <w:rPr>
          <w:rFonts w:asciiTheme="minorHAnsi" w:hAnsiTheme="minorHAnsi" w:cs="Arial"/>
        </w:rPr>
        <w:t>rejših</w:t>
      </w:r>
      <w:r w:rsidR="00760741" w:rsidRPr="00A906AC">
        <w:rPr>
          <w:rFonts w:asciiTheme="minorHAnsi" w:hAnsiTheme="minorHAnsi" w:cs="Arial"/>
        </w:rPr>
        <w:t xml:space="preserve"> odraslih</w:t>
      </w:r>
      <w:r w:rsidR="00B55384" w:rsidRPr="00A906AC">
        <w:rPr>
          <w:rFonts w:asciiTheme="minorHAnsi" w:hAnsiTheme="minorHAnsi" w:cs="Arial"/>
        </w:rPr>
        <w:t xml:space="preserve"> (zlasti moški 60+) v naših</w:t>
      </w:r>
      <w:r w:rsidRPr="00A906AC">
        <w:rPr>
          <w:rFonts w:asciiTheme="minorHAnsi" w:hAnsiTheme="minorHAnsi" w:cs="Arial"/>
        </w:rPr>
        <w:t xml:space="preserve"> družb</w:t>
      </w:r>
      <w:r w:rsidR="00B55384" w:rsidRPr="00A906AC">
        <w:rPr>
          <w:rFonts w:asciiTheme="minorHAnsi" w:hAnsiTheme="minorHAnsi" w:cs="Arial"/>
        </w:rPr>
        <w:t>ah z namenom, da bi se povečala</w:t>
      </w:r>
      <w:r w:rsidRPr="00A906AC">
        <w:rPr>
          <w:rFonts w:asciiTheme="minorHAnsi" w:hAnsiTheme="minorHAnsi" w:cs="Arial"/>
        </w:rPr>
        <w:t xml:space="preserve"> njihova in naša blaginja</w:t>
      </w:r>
      <w:r w:rsidR="00EA289D" w:rsidRPr="00A906AC">
        <w:rPr>
          <w:rFonts w:asciiTheme="minorHAnsi" w:hAnsiTheme="minorHAnsi" w:cs="Arial"/>
        </w:rPr>
        <w:t xml:space="preserve"> ter izboljšali</w:t>
      </w:r>
      <w:r w:rsidRPr="00A906AC">
        <w:rPr>
          <w:rFonts w:asciiTheme="minorHAnsi" w:hAnsiTheme="minorHAnsi" w:cs="Arial"/>
        </w:rPr>
        <w:t xml:space="preserve"> kakovost življenja, sreča in zdravje. </w:t>
      </w:r>
      <w:r w:rsidR="009945EC" w:rsidRPr="00A906AC">
        <w:rPr>
          <w:rFonts w:asciiTheme="minorHAnsi" w:hAnsiTheme="minorHAnsi" w:cs="Arial"/>
        </w:rPr>
        <w:t>Za ta namen smo</w:t>
      </w:r>
      <w:r w:rsidR="00A22A36" w:rsidRPr="00A906AC">
        <w:rPr>
          <w:rFonts w:asciiTheme="minorHAnsi" w:hAnsiTheme="minorHAnsi" w:cs="Arial"/>
        </w:rPr>
        <w:t xml:space="preserve"> za starejše odrasle, zlasti pa za moške (60+)</w:t>
      </w:r>
      <w:r w:rsidR="00B55384" w:rsidRPr="00A906AC">
        <w:rPr>
          <w:rFonts w:asciiTheme="minorHAnsi" w:hAnsiTheme="minorHAnsi" w:cs="Arial"/>
        </w:rPr>
        <w:t>:</w:t>
      </w:r>
    </w:p>
    <w:p w:rsidR="00B55384" w:rsidRPr="008D5676" w:rsidRDefault="00B55384" w:rsidP="00DF5460">
      <w:pPr>
        <w:pStyle w:val="bodytext"/>
        <w:numPr>
          <w:ilvl w:val="0"/>
          <w:numId w:val="9"/>
        </w:numPr>
        <w:spacing w:before="0" w:beforeAutospacing="0" w:after="0" w:afterAutospacing="0" w:line="276" w:lineRule="auto"/>
        <w:jc w:val="both"/>
        <w:rPr>
          <w:rFonts w:asciiTheme="minorHAnsi" w:hAnsiTheme="minorHAnsi" w:cs="Arial"/>
        </w:rPr>
      </w:pPr>
      <w:r w:rsidRPr="00A906AC">
        <w:rPr>
          <w:rFonts w:asciiTheme="minorHAnsi" w:hAnsiTheme="minorHAnsi" w:cs="Arial"/>
        </w:rPr>
        <w:t xml:space="preserve">ocenili </w:t>
      </w:r>
      <w:r w:rsidR="007458A5" w:rsidRPr="00A906AC">
        <w:rPr>
          <w:rFonts w:asciiTheme="minorHAnsi" w:hAnsiTheme="minorHAnsi" w:cs="Arial"/>
        </w:rPr>
        <w:t xml:space="preserve">njihovo </w:t>
      </w:r>
      <w:r w:rsidRPr="00A906AC">
        <w:rPr>
          <w:rFonts w:asciiTheme="minorHAnsi" w:hAnsiTheme="minorHAnsi" w:cs="Arial"/>
        </w:rPr>
        <w:t xml:space="preserve">blaginjo in </w:t>
      </w:r>
      <w:r w:rsidR="00A22A36" w:rsidRPr="00A906AC">
        <w:rPr>
          <w:rFonts w:asciiTheme="minorHAnsi" w:hAnsiTheme="minorHAnsi" w:cs="Arial"/>
        </w:rPr>
        <w:t xml:space="preserve">vključenost </w:t>
      </w:r>
      <w:r w:rsidR="00E2491B" w:rsidRPr="00A906AC">
        <w:rPr>
          <w:rFonts w:asciiTheme="minorHAnsi" w:hAnsiTheme="minorHAnsi" w:cs="Arial"/>
        </w:rPr>
        <w:t>v izobraževanje ter</w:t>
      </w:r>
      <w:r w:rsidRPr="00A906AC">
        <w:rPr>
          <w:rFonts w:asciiTheme="minorHAnsi" w:hAnsiTheme="minorHAnsi" w:cs="Arial"/>
        </w:rPr>
        <w:t xml:space="preserve"> učenje v njihovih lokalnih okoljih;</w:t>
      </w:r>
    </w:p>
    <w:p w:rsidR="00B55384" w:rsidRPr="008D5676" w:rsidRDefault="00B55384" w:rsidP="00DF5460">
      <w:pPr>
        <w:pStyle w:val="bodytext"/>
        <w:numPr>
          <w:ilvl w:val="0"/>
          <w:numId w:val="9"/>
        </w:numPr>
        <w:spacing w:before="0" w:beforeAutospacing="0" w:after="0" w:afterAutospacing="0" w:line="276" w:lineRule="auto"/>
        <w:jc w:val="both"/>
        <w:rPr>
          <w:rFonts w:asciiTheme="minorHAnsi" w:hAnsiTheme="minorHAnsi" w:cs="Arial"/>
        </w:rPr>
      </w:pPr>
      <w:r w:rsidRPr="00A906AC">
        <w:rPr>
          <w:rFonts w:asciiTheme="minorHAnsi" w:hAnsiTheme="minorHAnsi" w:cs="Arial"/>
        </w:rPr>
        <w:t xml:space="preserve">opredelili ovire in priložnosti za </w:t>
      </w:r>
      <w:r w:rsidR="007458A5" w:rsidRPr="00A906AC">
        <w:rPr>
          <w:rFonts w:asciiTheme="minorHAnsi" w:hAnsiTheme="minorHAnsi" w:cs="Arial"/>
        </w:rPr>
        <w:t xml:space="preserve">njihovo </w:t>
      </w:r>
      <w:r w:rsidRPr="00A906AC">
        <w:rPr>
          <w:rFonts w:asciiTheme="minorHAnsi" w:hAnsiTheme="minorHAnsi" w:cs="Arial"/>
        </w:rPr>
        <w:t xml:space="preserve">večjo vključenost v </w:t>
      </w:r>
      <w:r w:rsidR="002A3747" w:rsidRPr="00A906AC">
        <w:rPr>
          <w:rFonts w:asciiTheme="minorHAnsi" w:hAnsiTheme="minorHAnsi" w:cs="Arial"/>
        </w:rPr>
        <w:t xml:space="preserve">skupnostne dejavnosti </w:t>
      </w:r>
      <w:r w:rsidRPr="00A906AC">
        <w:rPr>
          <w:rFonts w:asciiTheme="minorHAnsi" w:hAnsiTheme="minorHAnsi" w:cs="Arial"/>
        </w:rPr>
        <w:t>in v skupnosti prakse;</w:t>
      </w:r>
    </w:p>
    <w:p w:rsidR="00B55384" w:rsidRPr="008D5676" w:rsidRDefault="00B55384" w:rsidP="003B79E6">
      <w:pPr>
        <w:pStyle w:val="bodytext"/>
        <w:numPr>
          <w:ilvl w:val="0"/>
          <w:numId w:val="9"/>
        </w:numPr>
        <w:spacing w:before="0" w:beforeAutospacing="0" w:after="120" w:afterAutospacing="0" w:line="276" w:lineRule="auto"/>
        <w:jc w:val="both"/>
        <w:rPr>
          <w:rFonts w:asciiTheme="minorHAnsi" w:hAnsiTheme="minorHAnsi" w:cs="Arial"/>
        </w:rPr>
      </w:pPr>
      <w:r w:rsidRPr="00A906AC">
        <w:rPr>
          <w:rFonts w:asciiTheme="minorHAnsi" w:hAnsiTheme="minorHAnsi" w:cs="Arial"/>
        </w:rPr>
        <w:t>p</w:t>
      </w:r>
      <w:r w:rsidR="008A204E" w:rsidRPr="00A906AC">
        <w:rPr>
          <w:rFonts w:asciiTheme="minorHAnsi" w:hAnsiTheme="minorHAnsi" w:cs="Arial"/>
        </w:rPr>
        <w:t>ripravili</w:t>
      </w:r>
      <w:r w:rsidRPr="00A906AC">
        <w:rPr>
          <w:rFonts w:asciiTheme="minorHAnsi" w:hAnsiTheme="minorHAnsi" w:cs="Arial"/>
        </w:rPr>
        <w:t xml:space="preserve"> konkretna priporočila </w:t>
      </w:r>
      <w:r w:rsidR="008A204E" w:rsidRPr="00A906AC">
        <w:rPr>
          <w:rFonts w:asciiTheme="minorHAnsi" w:hAnsiTheme="minorHAnsi" w:cs="Arial"/>
        </w:rPr>
        <w:t>za krepitev starejših v njihovi</w:t>
      </w:r>
      <w:r w:rsidR="00760741" w:rsidRPr="00A906AC">
        <w:rPr>
          <w:rFonts w:asciiTheme="minorHAnsi" w:hAnsiTheme="minorHAnsi" w:cs="Arial"/>
        </w:rPr>
        <w:t>h</w:t>
      </w:r>
      <w:r w:rsidR="008A204E" w:rsidRPr="00A906AC">
        <w:rPr>
          <w:rFonts w:asciiTheme="minorHAnsi" w:hAnsiTheme="minorHAnsi" w:cs="Arial"/>
        </w:rPr>
        <w:t xml:space="preserve"> skup</w:t>
      </w:r>
      <w:r w:rsidR="003B79E6" w:rsidRPr="00A906AC">
        <w:rPr>
          <w:rFonts w:asciiTheme="minorHAnsi" w:hAnsiTheme="minorHAnsi" w:cs="Arial"/>
        </w:rPr>
        <w:t>n</w:t>
      </w:r>
      <w:r w:rsidR="008A204E" w:rsidRPr="00A906AC">
        <w:rPr>
          <w:rFonts w:asciiTheme="minorHAnsi" w:hAnsiTheme="minorHAnsi" w:cs="Arial"/>
        </w:rPr>
        <w:t>osti</w:t>
      </w:r>
      <w:r w:rsidR="00760741" w:rsidRPr="00A906AC">
        <w:rPr>
          <w:rFonts w:asciiTheme="minorHAnsi" w:hAnsiTheme="minorHAnsi" w:cs="Arial"/>
        </w:rPr>
        <w:t>h</w:t>
      </w:r>
      <w:r w:rsidR="008A204E" w:rsidRPr="00A906AC">
        <w:rPr>
          <w:rFonts w:asciiTheme="minorHAnsi" w:hAnsiTheme="minorHAnsi" w:cs="Arial"/>
        </w:rPr>
        <w:t xml:space="preserve"> </w:t>
      </w:r>
      <w:r w:rsidRPr="00A906AC">
        <w:rPr>
          <w:rFonts w:asciiTheme="minorHAnsi" w:hAnsiTheme="minorHAnsi" w:cs="Arial"/>
        </w:rPr>
        <w:t xml:space="preserve">za </w:t>
      </w:r>
      <w:r w:rsidR="008A204E" w:rsidRPr="00A906AC">
        <w:rPr>
          <w:rFonts w:asciiTheme="minorHAnsi" w:hAnsiTheme="minorHAnsi" w:cs="Arial"/>
        </w:rPr>
        <w:t>nacio</w:t>
      </w:r>
      <w:r w:rsidR="00A22A36" w:rsidRPr="00A906AC">
        <w:rPr>
          <w:rFonts w:asciiTheme="minorHAnsi" w:hAnsiTheme="minorHAnsi" w:cs="Arial"/>
        </w:rPr>
        <w:t>nalne</w:t>
      </w:r>
      <w:r w:rsidR="008A204E" w:rsidRPr="00A906AC">
        <w:rPr>
          <w:rFonts w:asciiTheme="minorHAnsi" w:hAnsiTheme="minorHAnsi" w:cs="Arial"/>
        </w:rPr>
        <w:t xml:space="preserve"> in </w:t>
      </w:r>
      <w:r w:rsidRPr="00A906AC">
        <w:rPr>
          <w:rFonts w:asciiTheme="minorHAnsi" w:hAnsiTheme="minorHAnsi" w:cs="Arial"/>
        </w:rPr>
        <w:t xml:space="preserve">lokalne </w:t>
      </w:r>
      <w:r w:rsidR="008A204E" w:rsidRPr="00A906AC">
        <w:rPr>
          <w:rFonts w:asciiTheme="minorHAnsi" w:hAnsiTheme="minorHAnsi" w:cs="Arial"/>
        </w:rPr>
        <w:t xml:space="preserve">organe, javne institucije in </w:t>
      </w:r>
      <w:r w:rsidRPr="00A906AC">
        <w:rPr>
          <w:rFonts w:asciiTheme="minorHAnsi" w:hAnsiTheme="minorHAnsi" w:cs="Arial"/>
        </w:rPr>
        <w:t>nevladne organizacije.</w:t>
      </w:r>
    </w:p>
    <w:p w:rsidR="00625F3D" w:rsidRPr="008D5676" w:rsidRDefault="00760741" w:rsidP="00EA289D">
      <w:pPr>
        <w:pStyle w:val="bodytext"/>
        <w:spacing w:before="0" w:beforeAutospacing="0" w:after="120" w:afterAutospacing="0" w:line="276" w:lineRule="auto"/>
        <w:jc w:val="both"/>
        <w:rPr>
          <w:rFonts w:asciiTheme="minorHAnsi" w:hAnsiTheme="minorHAnsi" w:cs="Arial"/>
        </w:rPr>
      </w:pPr>
      <w:r w:rsidRPr="00A906AC">
        <w:rPr>
          <w:rFonts w:asciiTheme="minorHAnsi" w:hAnsiTheme="minorHAnsi" w:cs="Arial"/>
        </w:rPr>
        <w:t>V projektu smo namreč dokazali</w:t>
      </w:r>
      <w:r w:rsidR="008A204E" w:rsidRPr="00A906AC">
        <w:rPr>
          <w:rFonts w:asciiTheme="minorHAnsi" w:hAnsiTheme="minorHAnsi" w:cs="Arial"/>
        </w:rPr>
        <w:t xml:space="preserve">, </w:t>
      </w:r>
      <w:r w:rsidR="00EA289D" w:rsidRPr="00A906AC">
        <w:rPr>
          <w:rFonts w:asciiTheme="minorHAnsi" w:hAnsiTheme="minorHAnsi" w:cs="Arial"/>
        </w:rPr>
        <w:t>da nam</w:t>
      </w:r>
      <w:r w:rsidRPr="00A906AC">
        <w:rPr>
          <w:rFonts w:asciiTheme="minorHAnsi" w:hAnsiTheme="minorHAnsi" w:cs="Arial"/>
        </w:rPr>
        <w:t xml:space="preserve"> v </w:t>
      </w:r>
      <w:r w:rsidR="00625F3D" w:rsidRPr="00A906AC">
        <w:rPr>
          <w:rFonts w:asciiTheme="minorHAnsi" w:hAnsiTheme="minorHAnsi" w:cs="Arial"/>
        </w:rPr>
        <w:t>zadnjih nekaj desetletjih ni</w:t>
      </w:r>
      <w:r w:rsidRPr="00A906AC">
        <w:rPr>
          <w:rFonts w:asciiTheme="minorHAnsi" w:hAnsiTheme="minorHAnsi" w:cs="Arial"/>
        </w:rPr>
        <w:t xml:space="preserve"> </w:t>
      </w:r>
      <w:r w:rsidR="00625F3D" w:rsidRPr="00A906AC">
        <w:rPr>
          <w:rFonts w:asciiTheme="minorHAnsi" w:hAnsiTheme="minorHAnsi" w:cs="Arial"/>
        </w:rPr>
        <w:t>uspel</w:t>
      </w:r>
      <w:r w:rsidR="00EA289D" w:rsidRPr="00A906AC">
        <w:rPr>
          <w:rFonts w:asciiTheme="minorHAnsi" w:hAnsiTheme="minorHAnsi" w:cs="Arial"/>
        </w:rPr>
        <w:t>o</w:t>
      </w:r>
      <w:r w:rsidR="00625F3D" w:rsidRPr="00A906AC">
        <w:rPr>
          <w:rFonts w:asciiTheme="minorHAnsi" w:hAnsiTheme="minorHAnsi" w:cs="Arial"/>
        </w:rPr>
        <w:t xml:space="preserve"> pripraviti ustreznih temeljev za neizogibne demografske, gospodarske in družbene spremembe. </w:t>
      </w:r>
      <w:r w:rsidR="008A204E" w:rsidRPr="00A906AC">
        <w:rPr>
          <w:rFonts w:asciiTheme="minorHAnsi" w:hAnsiTheme="minorHAnsi" w:cs="Arial"/>
        </w:rPr>
        <w:t xml:space="preserve">Predvsem </w:t>
      </w:r>
      <w:r w:rsidR="007458A5" w:rsidRPr="00A906AC">
        <w:rPr>
          <w:rFonts w:asciiTheme="minorHAnsi" w:hAnsiTheme="minorHAnsi" w:cs="Arial"/>
        </w:rPr>
        <w:t xml:space="preserve">pa </w:t>
      </w:r>
      <w:r w:rsidR="00625F3D" w:rsidRPr="00A906AC">
        <w:rPr>
          <w:rFonts w:asciiTheme="minorHAnsi" w:hAnsiTheme="minorHAnsi" w:cs="Arial"/>
        </w:rPr>
        <w:t xml:space="preserve">smo pokazali, da </w:t>
      </w:r>
      <w:r w:rsidR="007458A5" w:rsidRPr="00A906AC">
        <w:rPr>
          <w:rFonts w:asciiTheme="minorHAnsi" w:hAnsiTheme="minorHAnsi" w:cs="Arial"/>
        </w:rPr>
        <w:t>nismo zaznali</w:t>
      </w:r>
      <w:r w:rsidR="00625F3D" w:rsidRPr="00A906AC">
        <w:rPr>
          <w:rFonts w:asciiTheme="minorHAnsi" w:hAnsiTheme="minorHAnsi" w:cs="Arial"/>
        </w:rPr>
        <w:t xml:space="preserve"> </w:t>
      </w:r>
      <w:r w:rsidR="008A204E" w:rsidRPr="00A906AC">
        <w:rPr>
          <w:rFonts w:asciiTheme="minorHAnsi" w:hAnsiTheme="minorHAnsi" w:cs="Arial"/>
        </w:rPr>
        <w:t xml:space="preserve">problema </w:t>
      </w:r>
      <w:r w:rsidR="00625F3D" w:rsidRPr="00A906AC">
        <w:rPr>
          <w:rFonts w:asciiTheme="minorHAnsi" w:hAnsiTheme="minorHAnsi" w:cs="Arial"/>
        </w:rPr>
        <w:t>i</w:t>
      </w:r>
      <w:r w:rsidR="008A204E" w:rsidRPr="00A906AC">
        <w:rPr>
          <w:rFonts w:asciiTheme="minorHAnsi" w:hAnsiTheme="minorHAnsi" w:cs="Arial"/>
        </w:rPr>
        <w:t xml:space="preserve">zginjanja </w:t>
      </w:r>
      <w:r w:rsidR="00625F3D" w:rsidRPr="00A906AC">
        <w:rPr>
          <w:rFonts w:asciiTheme="minorHAnsi" w:hAnsiTheme="minorHAnsi" w:cs="Arial"/>
        </w:rPr>
        <w:t>starejših mo</w:t>
      </w:r>
      <w:r w:rsidR="008A204E" w:rsidRPr="00A906AC">
        <w:rPr>
          <w:rFonts w:asciiTheme="minorHAnsi" w:hAnsiTheme="minorHAnsi" w:cs="Arial"/>
        </w:rPr>
        <w:t>ških iz skupnostnih dejavnosti</w:t>
      </w:r>
      <w:r w:rsidR="004C4411" w:rsidRPr="00A906AC">
        <w:rPr>
          <w:rFonts w:asciiTheme="minorHAnsi" w:hAnsiTheme="minorHAnsi" w:cs="Arial"/>
        </w:rPr>
        <w:t xml:space="preserve"> – </w:t>
      </w:r>
      <w:r w:rsidR="00625F3D" w:rsidRPr="00A906AC">
        <w:rPr>
          <w:rFonts w:asciiTheme="minorHAnsi" w:hAnsiTheme="minorHAnsi" w:cs="Arial"/>
        </w:rPr>
        <w:t xml:space="preserve"> </w:t>
      </w:r>
      <w:r w:rsidR="007458A5" w:rsidRPr="00A906AC">
        <w:rPr>
          <w:rFonts w:asciiTheme="minorHAnsi" w:hAnsiTheme="minorHAnsi" w:cs="Arial"/>
        </w:rPr>
        <w:t xml:space="preserve">kar pa se ne dogaja </w:t>
      </w:r>
      <w:r w:rsidR="00625F3D" w:rsidRPr="00A906AC">
        <w:rPr>
          <w:rFonts w:asciiTheme="minorHAnsi" w:hAnsiTheme="minorHAnsi" w:cs="Arial"/>
        </w:rPr>
        <w:t xml:space="preserve">toliko zaradi </w:t>
      </w:r>
      <w:r w:rsidR="00A22A36" w:rsidRPr="00A906AC">
        <w:rPr>
          <w:rFonts w:asciiTheme="minorHAnsi" w:hAnsiTheme="minorHAnsi" w:cs="Arial"/>
        </w:rPr>
        <w:t>krajše življenjske dobe</w:t>
      </w:r>
      <w:r w:rsidR="008A204E" w:rsidRPr="00A906AC">
        <w:rPr>
          <w:rFonts w:asciiTheme="minorHAnsi" w:hAnsiTheme="minorHAnsi" w:cs="Arial"/>
        </w:rPr>
        <w:t xml:space="preserve"> moških</w:t>
      </w:r>
      <w:r w:rsidR="00625F3D" w:rsidRPr="00A906AC">
        <w:rPr>
          <w:rFonts w:asciiTheme="minorHAnsi" w:hAnsiTheme="minorHAnsi" w:cs="Arial"/>
        </w:rPr>
        <w:t xml:space="preserve">, bolezni, finančne </w:t>
      </w:r>
      <w:r w:rsidR="008A204E" w:rsidRPr="00A906AC">
        <w:rPr>
          <w:rFonts w:asciiTheme="minorHAnsi" w:hAnsiTheme="minorHAnsi" w:cs="Arial"/>
        </w:rPr>
        <w:t>prikrajšanosti</w:t>
      </w:r>
      <w:r w:rsidR="00A22A36" w:rsidRPr="00A906AC">
        <w:rPr>
          <w:rFonts w:asciiTheme="minorHAnsi" w:hAnsiTheme="minorHAnsi" w:cs="Arial"/>
        </w:rPr>
        <w:t xml:space="preserve">, </w:t>
      </w:r>
      <w:r w:rsidR="008A204E" w:rsidRPr="00A906AC">
        <w:rPr>
          <w:rFonts w:asciiTheme="minorHAnsi" w:hAnsiTheme="minorHAnsi" w:cs="Arial"/>
        </w:rPr>
        <w:t>drugih</w:t>
      </w:r>
      <w:r w:rsidR="00625F3D" w:rsidRPr="00A906AC">
        <w:rPr>
          <w:rFonts w:asciiTheme="minorHAnsi" w:hAnsiTheme="minorHAnsi" w:cs="Arial"/>
        </w:rPr>
        <w:t xml:space="preserve"> </w:t>
      </w:r>
      <w:r w:rsidR="00A22A36" w:rsidRPr="00A906AC">
        <w:rPr>
          <w:rFonts w:asciiTheme="minorHAnsi" w:hAnsiTheme="minorHAnsi" w:cs="Arial"/>
        </w:rPr>
        <w:t>težav, kot so</w:t>
      </w:r>
      <w:r w:rsidR="008A204E" w:rsidRPr="00A906AC">
        <w:rPr>
          <w:rFonts w:asciiTheme="minorHAnsi" w:hAnsiTheme="minorHAnsi" w:cs="Arial"/>
        </w:rPr>
        <w:t xml:space="preserve"> </w:t>
      </w:r>
      <w:r w:rsidR="00A22A36" w:rsidRPr="00A906AC">
        <w:rPr>
          <w:rFonts w:asciiTheme="minorHAnsi" w:hAnsiTheme="minorHAnsi" w:cs="Arial"/>
        </w:rPr>
        <w:t>depresija</w:t>
      </w:r>
      <w:r w:rsidR="008A204E" w:rsidRPr="00A906AC">
        <w:rPr>
          <w:rFonts w:asciiTheme="minorHAnsi" w:hAnsiTheme="minorHAnsi" w:cs="Arial"/>
        </w:rPr>
        <w:t>, demenc</w:t>
      </w:r>
      <w:r w:rsidR="00A22A36" w:rsidRPr="00A906AC">
        <w:rPr>
          <w:rFonts w:asciiTheme="minorHAnsi" w:hAnsiTheme="minorHAnsi" w:cs="Arial"/>
        </w:rPr>
        <w:t>a</w:t>
      </w:r>
      <w:r w:rsidR="008A204E" w:rsidRPr="00A906AC">
        <w:rPr>
          <w:rFonts w:asciiTheme="minorHAnsi" w:hAnsiTheme="minorHAnsi" w:cs="Arial"/>
        </w:rPr>
        <w:t xml:space="preserve"> itn</w:t>
      </w:r>
      <w:r w:rsidR="00625F3D" w:rsidRPr="00A906AC">
        <w:rPr>
          <w:rFonts w:asciiTheme="minorHAnsi" w:hAnsiTheme="minorHAnsi" w:cs="Arial"/>
        </w:rPr>
        <w:t xml:space="preserve">., temveč predvsem zaradi </w:t>
      </w:r>
      <w:r w:rsidR="008A204E" w:rsidRPr="00A906AC">
        <w:rPr>
          <w:rFonts w:asciiTheme="minorHAnsi" w:hAnsiTheme="minorHAnsi" w:cs="Arial"/>
        </w:rPr>
        <w:t xml:space="preserve">njihove </w:t>
      </w:r>
      <w:r w:rsidR="00625F3D" w:rsidRPr="00A906AC">
        <w:rPr>
          <w:rFonts w:asciiTheme="minorHAnsi" w:hAnsiTheme="minorHAnsi" w:cs="Arial"/>
        </w:rPr>
        <w:t xml:space="preserve">izolacije, </w:t>
      </w:r>
      <w:r w:rsidR="00A22A36" w:rsidRPr="00A906AC">
        <w:rPr>
          <w:rFonts w:asciiTheme="minorHAnsi" w:hAnsiTheme="minorHAnsi" w:cs="Arial"/>
        </w:rPr>
        <w:t xml:space="preserve">občutka </w:t>
      </w:r>
      <w:r w:rsidR="00625F3D" w:rsidRPr="00A906AC">
        <w:rPr>
          <w:rFonts w:asciiTheme="minorHAnsi" w:hAnsiTheme="minorHAnsi" w:cs="Arial"/>
        </w:rPr>
        <w:t>neuporabnosti in nepotrebnosti v sodobnem načinu življenja.</w:t>
      </w:r>
      <w:r w:rsidRPr="00A906AC">
        <w:rPr>
          <w:rFonts w:asciiTheme="minorHAnsi" w:hAnsiTheme="minorHAnsi" w:cs="Arial"/>
        </w:rPr>
        <w:t xml:space="preserve"> </w:t>
      </w:r>
      <w:r w:rsidR="007458A5" w:rsidRPr="00A906AC">
        <w:rPr>
          <w:rFonts w:asciiTheme="minorHAnsi" w:hAnsiTheme="minorHAnsi" w:cs="Arial"/>
        </w:rPr>
        <w:t xml:space="preserve">V </w:t>
      </w:r>
      <w:r w:rsidR="00625F3D" w:rsidRPr="00A906AC">
        <w:rPr>
          <w:rFonts w:asciiTheme="minorHAnsi" w:hAnsiTheme="minorHAnsi" w:cs="Arial"/>
          <w:b/>
        </w:rPr>
        <w:t>Priporočil</w:t>
      </w:r>
      <w:r w:rsidR="007458A5" w:rsidRPr="00A906AC">
        <w:rPr>
          <w:rFonts w:asciiTheme="minorHAnsi" w:hAnsiTheme="minorHAnsi" w:cs="Arial"/>
          <w:b/>
        </w:rPr>
        <w:t>ih</w:t>
      </w:r>
      <w:r w:rsidR="00625F3D" w:rsidRPr="00A906AC">
        <w:rPr>
          <w:rFonts w:asciiTheme="minorHAnsi" w:hAnsiTheme="minorHAnsi" w:cs="Arial"/>
          <w:b/>
        </w:rPr>
        <w:t xml:space="preserve"> za</w:t>
      </w:r>
      <w:r w:rsidR="008A204E" w:rsidRPr="00A906AC">
        <w:rPr>
          <w:rFonts w:asciiTheme="minorHAnsi" w:hAnsiTheme="minorHAnsi" w:cs="Arial"/>
          <w:b/>
        </w:rPr>
        <w:t xml:space="preserve"> državne in lokalne organe v Sloveniji </w:t>
      </w:r>
      <w:r w:rsidR="004C4411" w:rsidRPr="00A906AC">
        <w:rPr>
          <w:rFonts w:asciiTheme="minorHAnsi" w:hAnsiTheme="minorHAnsi" w:cs="Arial"/>
        </w:rPr>
        <w:t xml:space="preserve">tako </w:t>
      </w:r>
      <w:r w:rsidR="007458A5" w:rsidRPr="00A906AC">
        <w:rPr>
          <w:rFonts w:asciiTheme="minorHAnsi" w:hAnsiTheme="minorHAnsi" w:cs="Arial"/>
        </w:rPr>
        <w:t>strnjujemo</w:t>
      </w:r>
      <w:r w:rsidR="00A22A36" w:rsidRPr="00A906AC">
        <w:rPr>
          <w:rFonts w:asciiTheme="minorHAnsi" w:hAnsiTheme="minorHAnsi" w:cs="Arial"/>
        </w:rPr>
        <w:t xml:space="preserve"> glavne ugotovitve </w:t>
      </w:r>
      <w:r w:rsidR="007458A5" w:rsidRPr="00A906AC">
        <w:rPr>
          <w:rFonts w:asciiTheme="minorHAnsi" w:hAnsiTheme="minorHAnsi" w:cs="Arial"/>
        </w:rPr>
        <w:t xml:space="preserve">projekta, s katerimi želimo </w:t>
      </w:r>
      <w:r w:rsidR="00A22A36" w:rsidRPr="00A906AC">
        <w:rPr>
          <w:rFonts w:asciiTheme="minorHAnsi" w:hAnsiTheme="minorHAnsi" w:cs="Arial"/>
        </w:rPr>
        <w:t>spodbu</w:t>
      </w:r>
      <w:r w:rsidR="007458A5" w:rsidRPr="00A906AC">
        <w:rPr>
          <w:rFonts w:asciiTheme="minorHAnsi" w:hAnsiTheme="minorHAnsi" w:cs="Arial"/>
        </w:rPr>
        <w:t>jati implementacijo</w:t>
      </w:r>
      <w:r w:rsidR="00A22A36" w:rsidRPr="00A906AC">
        <w:rPr>
          <w:rFonts w:asciiTheme="minorHAnsi" w:hAnsiTheme="minorHAnsi" w:cs="Arial"/>
        </w:rPr>
        <w:t xml:space="preserve"> </w:t>
      </w:r>
      <w:r w:rsidR="00625F3D" w:rsidRPr="00A906AC">
        <w:rPr>
          <w:rFonts w:asciiTheme="minorHAnsi" w:hAnsiTheme="minorHAnsi" w:cs="Arial"/>
        </w:rPr>
        <w:t xml:space="preserve">strategij in </w:t>
      </w:r>
      <w:r w:rsidR="00A22A36" w:rsidRPr="00A906AC">
        <w:rPr>
          <w:rFonts w:asciiTheme="minorHAnsi" w:hAnsiTheme="minorHAnsi" w:cs="Arial"/>
        </w:rPr>
        <w:t>politik</w:t>
      </w:r>
      <w:r w:rsidR="007458A5" w:rsidRPr="00A906AC">
        <w:rPr>
          <w:rFonts w:asciiTheme="minorHAnsi" w:hAnsiTheme="minorHAnsi" w:cs="Arial"/>
        </w:rPr>
        <w:t xml:space="preserve">, </w:t>
      </w:r>
      <w:r w:rsidR="00EA289D" w:rsidRPr="00A906AC">
        <w:rPr>
          <w:rFonts w:asciiTheme="minorHAnsi" w:hAnsiTheme="minorHAnsi" w:cs="Arial"/>
        </w:rPr>
        <w:t>nanašajočih se na</w:t>
      </w:r>
      <w:r w:rsidR="00625F3D" w:rsidRPr="00A906AC">
        <w:rPr>
          <w:rFonts w:asciiTheme="minorHAnsi" w:hAnsiTheme="minorHAnsi" w:cs="Arial"/>
        </w:rPr>
        <w:t xml:space="preserve"> vseživljenjsk</w:t>
      </w:r>
      <w:r w:rsidR="007458A5" w:rsidRPr="00A906AC">
        <w:rPr>
          <w:rFonts w:asciiTheme="minorHAnsi" w:hAnsiTheme="minorHAnsi" w:cs="Arial"/>
        </w:rPr>
        <w:t>o</w:t>
      </w:r>
      <w:r w:rsidR="00A22A36" w:rsidRPr="00A906AC">
        <w:rPr>
          <w:rFonts w:asciiTheme="minorHAnsi" w:hAnsiTheme="minorHAnsi" w:cs="Arial"/>
        </w:rPr>
        <w:t xml:space="preserve"> učenj</w:t>
      </w:r>
      <w:r w:rsidR="007458A5" w:rsidRPr="00A906AC">
        <w:rPr>
          <w:rFonts w:asciiTheme="minorHAnsi" w:hAnsiTheme="minorHAnsi" w:cs="Arial"/>
        </w:rPr>
        <w:t>e</w:t>
      </w:r>
      <w:r w:rsidR="00625F3D" w:rsidRPr="00A906AC">
        <w:rPr>
          <w:rFonts w:asciiTheme="minorHAnsi" w:hAnsiTheme="minorHAnsi" w:cs="Arial"/>
        </w:rPr>
        <w:t>, dolgo</w:t>
      </w:r>
      <w:r w:rsidR="007458A5" w:rsidRPr="00A906AC">
        <w:rPr>
          <w:rFonts w:asciiTheme="minorHAnsi" w:hAnsiTheme="minorHAnsi" w:cs="Arial"/>
        </w:rPr>
        <w:t>živo družbo</w:t>
      </w:r>
      <w:r w:rsidR="00625F3D" w:rsidRPr="00A906AC">
        <w:rPr>
          <w:rFonts w:asciiTheme="minorHAnsi" w:hAnsiTheme="minorHAnsi" w:cs="Arial"/>
        </w:rPr>
        <w:t xml:space="preserve"> in starajoče se prebivalstv</w:t>
      </w:r>
      <w:r w:rsidR="007458A5" w:rsidRPr="00A906AC">
        <w:rPr>
          <w:rFonts w:asciiTheme="minorHAnsi" w:hAnsiTheme="minorHAnsi" w:cs="Arial"/>
        </w:rPr>
        <w:t>o</w:t>
      </w:r>
      <w:r w:rsidR="00A22A36" w:rsidRPr="00A906AC">
        <w:rPr>
          <w:rFonts w:asciiTheme="minorHAnsi" w:hAnsiTheme="minorHAnsi" w:cs="Arial"/>
        </w:rPr>
        <w:t xml:space="preserve"> </w:t>
      </w:r>
      <w:r w:rsidR="00625F3D" w:rsidRPr="00A906AC">
        <w:rPr>
          <w:rFonts w:asciiTheme="minorHAnsi" w:hAnsiTheme="minorHAnsi" w:cs="Arial"/>
        </w:rPr>
        <w:t xml:space="preserve">v lokalnih okoljih (s poudarkom na </w:t>
      </w:r>
      <w:r w:rsidR="001D7ACF" w:rsidRPr="00A906AC">
        <w:rPr>
          <w:rFonts w:asciiTheme="minorHAnsi" w:hAnsiTheme="minorHAnsi" w:cs="Arial"/>
        </w:rPr>
        <w:t xml:space="preserve">kakovosti življenja </w:t>
      </w:r>
      <w:r w:rsidR="00625F3D" w:rsidRPr="00A906AC">
        <w:rPr>
          <w:rFonts w:asciiTheme="minorHAnsi" w:hAnsiTheme="minorHAnsi" w:cs="Arial"/>
        </w:rPr>
        <w:t xml:space="preserve">starejših moških). </w:t>
      </w:r>
    </w:p>
    <w:p w:rsidR="003C4BDB" w:rsidRPr="008D5676" w:rsidRDefault="00B54914" w:rsidP="00D2401C">
      <w:pPr>
        <w:pStyle w:val="nagwek1"/>
        <w:spacing w:line="276" w:lineRule="auto"/>
        <w:rPr>
          <w:rFonts w:asciiTheme="minorHAnsi" w:hAnsiTheme="minorHAnsi"/>
          <w:b/>
          <w:sz w:val="24"/>
          <w:szCs w:val="24"/>
        </w:rPr>
      </w:pPr>
      <w:r w:rsidRPr="00A906AC">
        <w:rPr>
          <w:rFonts w:asciiTheme="minorHAnsi" w:hAnsiTheme="minorHAnsi"/>
          <w:b/>
          <w:sz w:val="24"/>
          <w:szCs w:val="24"/>
        </w:rPr>
        <w:lastRenderedPageBreak/>
        <w:t>2 Opis socialnih, k</w:t>
      </w:r>
      <w:r w:rsidR="00762568" w:rsidRPr="00A906AC">
        <w:rPr>
          <w:rFonts w:asciiTheme="minorHAnsi" w:hAnsiTheme="minorHAnsi"/>
          <w:b/>
          <w:sz w:val="24"/>
          <w:szCs w:val="24"/>
        </w:rPr>
        <w:t xml:space="preserve">ulturnih in gospodarskih </w:t>
      </w:r>
      <w:r w:rsidR="00EA289D" w:rsidRPr="00A906AC">
        <w:rPr>
          <w:rFonts w:asciiTheme="minorHAnsi" w:hAnsiTheme="minorHAnsi"/>
          <w:b/>
          <w:sz w:val="24"/>
          <w:szCs w:val="24"/>
        </w:rPr>
        <w:t>RAZMER</w:t>
      </w:r>
      <w:r w:rsidR="00762568" w:rsidRPr="00A906AC">
        <w:rPr>
          <w:rFonts w:asciiTheme="minorHAnsi" w:hAnsiTheme="minorHAnsi"/>
          <w:b/>
          <w:sz w:val="24"/>
          <w:szCs w:val="24"/>
        </w:rPr>
        <w:t xml:space="preserve"> v</w:t>
      </w:r>
      <w:r w:rsidR="00753002" w:rsidRPr="00A906AC">
        <w:rPr>
          <w:rFonts w:asciiTheme="minorHAnsi" w:hAnsiTheme="minorHAnsi"/>
          <w:b/>
          <w:sz w:val="24"/>
          <w:szCs w:val="24"/>
        </w:rPr>
        <w:t xml:space="preserve"> Sloveniji</w:t>
      </w:r>
    </w:p>
    <w:p w:rsidR="00FD5408" w:rsidRPr="008D5676" w:rsidRDefault="004C72A0" w:rsidP="00D2401C">
      <w:pPr>
        <w:autoSpaceDE w:val="0"/>
        <w:autoSpaceDN w:val="0"/>
        <w:adjustRightInd w:val="0"/>
        <w:spacing w:after="120" w:line="276" w:lineRule="auto"/>
        <w:jc w:val="both"/>
        <w:rPr>
          <w:rFonts w:eastAsia="PalladioLOT-Roman" w:cs="PalladioLOT-Roman"/>
          <w:color w:val="auto"/>
          <w:sz w:val="24"/>
          <w:szCs w:val="24"/>
        </w:rPr>
      </w:pPr>
      <w:r w:rsidRPr="008D5676">
        <w:rPr>
          <w:rFonts w:eastAsia="PalladioLOT-Roman" w:cs="PalladioLOT-Roman"/>
          <w:color w:val="auto"/>
          <w:sz w:val="24"/>
          <w:szCs w:val="24"/>
        </w:rPr>
        <w:t>'</w:t>
      </w:r>
      <w:r w:rsidR="00BE4326" w:rsidRPr="008D5676">
        <w:rPr>
          <w:rFonts w:eastAsia="PalladioLOT-Roman" w:cs="PalladioLOT-Roman"/>
          <w:color w:val="auto"/>
          <w:sz w:val="24"/>
          <w:szCs w:val="24"/>
        </w:rPr>
        <w:t>M</w:t>
      </w:r>
      <w:r w:rsidRPr="008D5676">
        <w:rPr>
          <w:rFonts w:eastAsia="PalladioLOT-Roman" w:cs="PalladioLOT-Roman"/>
          <w:color w:val="auto"/>
          <w:sz w:val="24"/>
          <w:szCs w:val="24"/>
        </w:rPr>
        <w:t>ešani</w:t>
      </w:r>
      <w:r w:rsidR="00BE4326" w:rsidRPr="008D5676">
        <w:rPr>
          <w:rFonts w:eastAsia="PalladioLOT-Roman" w:cs="PalladioLOT-Roman"/>
          <w:color w:val="auto"/>
          <w:sz w:val="24"/>
          <w:szCs w:val="24"/>
        </w:rPr>
        <w:t xml:space="preserve">' </w:t>
      </w:r>
      <w:r w:rsidRPr="008D5676">
        <w:rPr>
          <w:rFonts w:eastAsia="PalladioLOT-Roman" w:cs="PalladioLOT-Roman"/>
          <w:color w:val="auto"/>
          <w:sz w:val="24"/>
          <w:szCs w:val="24"/>
        </w:rPr>
        <w:t>sistem blaginje v Sloveniji, ki je izše</w:t>
      </w:r>
      <w:r w:rsidR="00EA289D" w:rsidRPr="00A906AC">
        <w:rPr>
          <w:rFonts w:eastAsia="PalladioLOT-Roman" w:cs="PalladioLOT-Roman"/>
          <w:color w:val="auto"/>
          <w:sz w:val="24"/>
          <w:szCs w:val="24"/>
        </w:rPr>
        <w:t>l</w:t>
      </w:r>
      <w:r w:rsidRPr="008D5676">
        <w:rPr>
          <w:rFonts w:eastAsia="PalladioLOT-Roman" w:cs="PalladioLOT-Roman"/>
          <w:color w:val="auto"/>
          <w:sz w:val="24"/>
          <w:szCs w:val="24"/>
        </w:rPr>
        <w:t xml:space="preserve"> iz jugoslovanskega socialističnega modela ter prevzel značilnosti blaginjskih sistemov </w:t>
      </w:r>
      <w:r w:rsidR="00D2401C" w:rsidRPr="00A906AC">
        <w:rPr>
          <w:rFonts w:eastAsia="PalladioLOT-Roman" w:cs="PalladioLOT-Roman"/>
          <w:color w:val="auto"/>
          <w:sz w:val="24"/>
          <w:szCs w:val="24"/>
        </w:rPr>
        <w:t>Z</w:t>
      </w:r>
      <w:r w:rsidRPr="008D5676">
        <w:rPr>
          <w:rFonts w:eastAsia="PalladioLOT-Roman" w:cs="PalladioLOT-Roman"/>
          <w:color w:val="auto"/>
          <w:sz w:val="24"/>
          <w:szCs w:val="24"/>
        </w:rPr>
        <w:t>ahodne Evrope z nekaterimi elementi kon</w:t>
      </w:r>
      <w:r w:rsidR="00EA289D" w:rsidRPr="00A906AC">
        <w:rPr>
          <w:rFonts w:eastAsia="PalladioLOT-Roman" w:cs="PalladioLOT-Roman"/>
          <w:color w:val="auto"/>
          <w:sz w:val="24"/>
          <w:szCs w:val="24"/>
        </w:rPr>
        <w:t>s</w:t>
      </w:r>
      <w:r w:rsidRPr="008D5676">
        <w:rPr>
          <w:rFonts w:eastAsia="PalladioLOT-Roman" w:cs="PalladioLOT-Roman"/>
          <w:color w:val="auto"/>
          <w:sz w:val="24"/>
          <w:szCs w:val="24"/>
        </w:rPr>
        <w:t>ervativno-korporativnega in socialnodemokratskega</w:t>
      </w:r>
      <w:r w:rsidR="00A62282" w:rsidRPr="008D5676">
        <w:rPr>
          <w:rFonts w:eastAsia="PalladioLOT-Roman" w:cs="PalladioLOT-Roman"/>
          <w:color w:val="auto"/>
          <w:sz w:val="24"/>
          <w:szCs w:val="24"/>
        </w:rPr>
        <w:t xml:space="preserve"> sistema blaginje</w:t>
      </w:r>
      <w:r w:rsidRPr="008D5676">
        <w:rPr>
          <w:rFonts w:eastAsia="PalladioLOT-Roman" w:cs="PalladioLOT-Roman"/>
          <w:color w:val="auto"/>
          <w:sz w:val="24"/>
          <w:szCs w:val="24"/>
        </w:rPr>
        <w:t xml:space="preserve">, </w:t>
      </w:r>
      <w:r w:rsidR="00BE4326" w:rsidRPr="008D5676">
        <w:rPr>
          <w:rFonts w:eastAsia="PalladioLOT-Roman" w:cs="PalladioLOT-Roman"/>
          <w:color w:val="auto"/>
          <w:sz w:val="24"/>
          <w:szCs w:val="24"/>
        </w:rPr>
        <w:t xml:space="preserve">je v zadnjih tridesetih letih </w:t>
      </w:r>
      <w:r w:rsidRPr="008D5676">
        <w:rPr>
          <w:rFonts w:eastAsia="PalladioLOT-Roman" w:cs="PalladioLOT-Roman"/>
          <w:color w:val="auto"/>
          <w:sz w:val="24"/>
          <w:szCs w:val="24"/>
        </w:rPr>
        <w:t xml:space="preserve">doživel številne korenite spremembe </w:t>
      </w:r>
      <w:r w:rsidR="00A508AF" w:rsidRPr="008D5676">
        <w:rPr>
          <w:rFonts w:eastAsia="PalladioLOT-Roman" w:cs="PalladioLOT-Roman"/>
          <w:color w:val="auto"/>
          <w:sz w:val="24"/>
          <w:szCs w:val="24"/>
        </w:rPr>
        <w:t>(Kolarič, Kopač in</w:t>
      </w:r>
      <w:r w:rsidR="00CF2F41" w:rsidRPr="008D5676">
        <w:rPr>
          <w:rFonts w:eastAsia="PalladioLOT-Roman" w:cs="PalladioLOT-Roman"/>
          <w:color w:val="auto"/>
          <w:sz w:val="24"/>
          <w:szCs w:val="24"/>
        </w:rPr>
        <w:t xml:space="preserve"> Rakar, 2009; Kolarič 1992; Kopač 2005; Črnak Meglič 2005; Filipovič</w:t>
      </w:r>
      <w:r w:rsidR="00A508AF" w:rsidRPr="008D5676">
        <w:rPr>
          <w:rFonts w:eastAsia="PalladioLOT-Roman" w:cs="PalladioLOT-Roman"/>
          <w:color w:val="auto"/>
          <w:sz w:val="24"/>
          <w:szCs w:val="24"/>
        </w:rPr>
        <w:t xml:space="preserve"> Hrast, Hlebec in</w:t>
      </w:r>
      <w:r w:rsidR="00CF2F41" w:rsidRPr="008D5676">
        <w:rPr>
          <w:rFonts w:eastAsia="PalladioLOT-Roman" w:cs="PalladioLOT-Roman"/>
          <w:color w:val="auto"/>
          <w:sz w:val="24"/>
          <w:szCs w:val="24"/>
        </w:rPr>
        <w:t xml:space="preserve"> Kavčič, 2012). </w:t>
      </w:r>
      <w:r w:rsidRPr="008D5676">
        <w:rPr>
          <w:rFonts w:eastAsia="PalladioLOT-Roman" w:cs="PalladioLOT-Roman"/>
          <w:color w:val="auto"/>
          <w:sz w:val="24"/>
          <w:szCs w:val="24"/>
        </w:rPr>
        <w:t xml:space="preserve">Čeprav je bil močan javni sektor </w:t>
      </w:r>
      <w:r w:rsidR="00CF2F41" w:rsidRPr="008D5676">
        <w:rPr>
          <w:rFonts w:eastAsia="PalladioLOT-Roman" w:cs="PalladioLOT-Roman"/>
          <w:color w:val="auto"/>
          <w:sz w:val="24"/>
          <w:szCs w:val="24"/>
        </w:rPr>
        <w:t xml:space="preserve">do nedavnega </w:t>
      </w:r>
      <w:r w:rsidRPr="008D5676">
        <w:rPr>
          <w:rFonts w:eastAsia="PalladioLOT-Roman" w:cs="PalladioLOT-Roman"/>
          <w:color w:val="auto"/>
          <w:sz w:val="24"/>
          <w:szCs w:val="24"/>
        </w:rPr>
        <w:t xml:space="preserve">glavni ponudnik raznovrstnih </w:t>
      </w:r>
      <w:r w:rsidR="003B0B37" w:rsidRPr="008D5676">
        <w:rPr>
          <w:rFonts w:eastAsia="PalladioLOT-Roman" w:cs="PalladioLOT-Roman"/>
          <w:color w:val="auto"/>
          <w:sz w:val="24"/>
          <w:szCs w:val="24"/>
        </w:rPr>
        <w:t xml:space="preserve">servisov in </w:t>
      </w:r>
      <w:r w:rsidRPr="008D5676">
        <w:rPr>
          <w:rFonts w:eastAsia="PalladioLOT-Roman" w:cs="PalladioLOT-Roman"/>
          <w:color w:val="auto"/>
          <w:sz w:val="24"/>
          <w:szCs w:val="24"/>
        </w:rPr>
        <w:t>storitev</w:t>
      </w:r>
      <w:r w:rsidR="00CF2F41" w:rsidRPr="008D5676">
        <w:rPr>
          <w:rFonts w:eastAsia="PalladioLOT-Roman" w:cs="PalladioLOT-Roman"/>
          <w:color w:val="auto"/>
          <w:sz w:val="24"/>
          <w:szCs w:val="24"/>
        </w:rPr>
        <w:t>,</w:t>
      </w:r>
      <w:r w:rsidRPr="008D5676">
        <w:rPr>
          <w:rFonts w:eastAsia="PalladioLOT-Roman" w:cs="PalladioLOT-Roman"/>
          <w:color w:val="auto"/>
          <w:sz w:val="24"/>
          <w:szCs w:val="24"/>
        </w:rPr>
        <w:t xml:space="preserve"> </w:t>
      </w:r>
      <w:r w:rsidR="00CF2F41" w:rsidRPr="008D5676">
        <w:rPr>
          <w:rFonts w:eastAsia="PalladioLOT-Roman" w:cs="PalladioLOT-Roman"/>
          <w:color w:val="auto"/>
          <w:sz w:val="24"/>
          <w:szCs w:val="24"/>
        </w:rPr>
        <w:t>pa so nekater</w:t>
      </w:r>
      <w:r w:rsidR="00EA289D" w:rsidRPr="00A906AC">
        <w:rPr>
          <w:rFonts w:eastAsia="PalladioLOT-Roman" w:cs="PalladioLOT-Roman"/>
          <w:color w:val="auto"/>
          <w:sz w:val="24"/>
          <w:szCs w:val="24"/>
        </w:rPr>
        <w:t>i</w:t>
      </w:r>
      <w:r w:rsidR="00CF2F41" w:rsidRPr="008D5676">
        <w:rPr>
          <w:rFonts w:eastAsia="PalladioLOT-Roman" w:cs="PalladioLOT-Roman"/>
          <w:color w:val="auto"/>
          <w:sz w:val="24"/>
          <w:szCs w:val="24"/>
        </w:rPr>
        <w:t xml:space="preserve"> </w:t>
      </w:r>
      <w:r w:rsidR="00BE4326" w:rsidRPr="008D5676">
        <w:rPr>
          <w:rFonts w:eastAsia="PalladioLOT-Roman" w:cs="PalladioLOT-Roman"/>
          <w:color w:val="auto"/>
          <w:sz w:val="24"/>
          <w:szCs w:val="24"/>
        </w:rPr>
        <w:t xml:space="preserve">socialni transferji počasi usihali, kar se že odraža v </w:t>
      </w:r>
      <w:r w:rsidR="00EA289D" w:rsidRPr="00A906AC">
        <w:rPr>
          <w:rFonts w:eastAsia="PalladioLOT-Roman" w:cs="PalladioLOT-Roman"/>
          <w:color w:val="auto"/>
          <w:sz w:val="24"/>
          <w:szCs w:val="24"/>
        </w:rPr>
        <w:t>čedalje</w:t>
      </w:r>
      <w:r w:rsidR="00BE4326" w:rsidRPr="008D5676">
        <w:rPr>
          <w:rFonts w:eastAsia="PalladioLOT-Roman" w:cs="PalladioLOT-Roman"/>
          <w:color w:val="auto"/>
          <w:sz w:val="24"/>
          <w:szCs w:val="24"/>
        </w:rPr>
        <w:t xml:space="preserve"> </w:t>
      </w:r>
      <w:r w:rsidR="00FD5408" w:rsidRPr="008D5676">
        <w:rPr>
          <w:rFonts w:eastAsia="PalladioLOT-Roman" w:cs="PalladioLOT-Roman"/>
          <w:color w:val="auto"/>
          <w:sz w:val="24"/>
          <w:szCs w:val="24"/>
        </w:rPr>
        <w:t xml:space="preserve">večjem materialnem pomanjkanju in v zmanjševanju državne podpore, </w:t>
      </w:r>
      <w:r w:rsidR="00753002" w:rsidRPr="008D5676">
        <w:rPr>
          <w:rFonts w:eastAsia="PalladioLOT-Roman" w:cs="PalladioLOT-Roman"/>
          <w:color w:val="auto"/>
          <w:sz w:val="24"/>
          <w:szCs w:val="24"/>
        </w:rPr>
        <w:t xml:space="preserve">ki je bila prej </w:t>
      </w:r>
      <w:r w:rsidR="00FD5408" w:rsidRPr="008D5676">
        <w:rPr>
          <w:rFonts w:eastAsia="PalladioLOT-Roman" w:cs="PalladioLOT-Roman"/>
          <w:color w:val="auto"/>
          <w:sz w:val="24"/>
          <w:szCs w:val="24"/>
        </w:rPr>
        <w:t>namenjen</w:t>
      </w:r>
      <w:r w:rsidR="00753002" w:rsidRPr="008D5676">
        <w:rPr>
          <w:rFonts w:eastAsia="PalladioLOT-Roman" w:cs="PalladioLOT-Roman"/>
          <w:color w:val="auto"/>
          <w:sz w:val="24"/>
          <w:szCs w:val="24"/>
        </w:rPr>
        <w:t>a</w:t>
      </w:r>
      <w:r w:rsidR="00FD5408" w:rsidRPr="008D5676">
        <w:rPr>
          <w:rFonts w:eastAsia="PalladioLOT-Roman" w:cs="PalladioLOT-Roman"/>
          <w:color w:val="auto"/>
          <w:sz w:val="24"/>
          <w:szCs w:val="24"/>
        </w:rPr>
        <w:t xml:space="preserve"> socialno izključenim in ran</w:t>
      </w:r>
      <w:r w:rsidR="00BE4326" w:rsidRPr="008D5676">
        <w:rPr>
          <w:rFonts w:eastAsia="PalladioLOT-Roman" w:cs="PalladioLOT-Roman"/>
          <w:color w:val="auto"/>
          <w:sz w:val="24"/>
          <w:szCs w:val="24"/>
        </w:rPr>
        <w:t>ljivim</w:t>
      </w:r>
      <w:r w:rsidR="00753002" w:rsidRPr="008D5676">
        <w:rPr>
          <w:rFonts w:eastAsia="PalladioLOT-Roman" w:cs="PalladioLOT-Roman"/>
          <w:color w:val="auto"/>
          <w:sz w:val="24"/>
          <w:szCs w:val="24"/>
        </w:rPr>
        <w:t xml:space="preserve"> družbenim</w:t>
      </w:r>
      <w:r w:rsidR="00BE4326" w:rsidRPr="008D5676">
        <w:rPr>
          <w:rFonts w:eastAsia="PalladioLOT-Roman" w:cs="PalladioLOT-Roman"/>
          <w:color w:val="auto"/>
          <w:sz w:val="24"/>
          <w:szCs w:val="24"/>
        </w:rPr>
        <w:t xml:space="preserve"> skupinam, med katerimi </w:t>
      </w:r>
      <w:r w:rsidR="00EA289D" w:rsidRPr="00A906AC">
        <w:rPr>
          <w:rFonts w:eastAsia="PalladioLOT-Roman" w:cs="PalladioLOT-Roman"/>
          <w:color w:val="auto"/>
          <w:sz w:val="24"/>
          <w:szCs w:val="24"/>
        </w:rPr>
        <w:t>so čedalje</w:t>
      </w:r>
      <w:r w:rsidR="00FD5408" w:rsidRPr="008D5676">
        <w:rPr>
          <w:rFonts w:eastAsia="PalladioLOT-Roman" w:cs="PalladioLOT-Roman"/>
          <w:b/>
          <w:color w:val="auto"/>
          <w:sz w:val="24"/>
          <w:szCs w:val="24"/>
        </w:rPr>
        <w:t xml:space="preserve"> bolj prikrajšani</w:t>
      </w:r>
      <w:r w:rsidR="003B0B37" w:rsidRPr="008D5676">
        <w:rPr>
          <w:rFonts w:eastAsia="PalladioLOT-Roman" w:cs="PalladioLOT-Roman"/>
          <w:b/>
          <w:color w:val="auto"/>
          <w:sz w:val="24"/>
          <w:szCs w:val="24"/>
        </w:rPr>
        <w:t xml:space="preserve"> prav starejši odrasli</w:t>
      </w:r>
      <w:r w:rsidR="00FD5408" w:rsidRPr="008D5676">
        <w:rPr>
          <w:rFonts w:eastAsia="PalladioLOT-Roman" w:cs="PalladioLOT-Roman"/>
          <w:color w:val="auto"/>
          <w:sz w:val="24"/>
          <w:szCs w:val="24"/>
        </w:rPr>
        <w:t>. T</w:t>
      </w:r>
      <w:r w:rsidR="00B03345" w:rsidRPr="008D5676">
        <w:rPr>
          <w:rFonts w:eastAsia="PalladioLOT-Roman" w:cs="PalladioLOT-Roman"/>
          <w:color w:val="auto"/>
          <w:sz w:val="24"/>
          <w:szCs w:val="24"/>
        </w:rPr>
        <w:t>emu pritrju</w:t>
      </w:r>
      <w:r w:rsidR="00F52560" w:rsidRPr="008D5676">
        <w:rPr>
          <w:rFonts w:eastAsia="PalladioLOT-Roman" w:cs="PalladioLOT-Roman"/>
          <w:color w:val="auto"/>
          <w:sz w:val="24"/>
          <w:szCs w:val="24"/>
        </w:rPr>
        <w:t>j</w:t>
      </w:r>
      <w:r w:rsidR="00B03345" w:rsidRPr="008D5676">
        <w:rPr>
          <w:rFonts w:eastAsia="PalladioLOT-Roman" w:cs="PalladioLOT-Roman"/>
          <w:color w:val="auto"/>
          <w:sz w:val="24"/>
          <w:szCs w:val="24"/>
        </w:rPr>
        <w:t xml:space="preserve">ejo tudi </w:t>
      </w:r>
      <w:r w:rsidR="00612CDE" w:rsidRPr="008D5676">
        <w:rPr>
          <w:rFonts w:eastAsia="PalladioLOT-Roman" w:cs="PalladioLOT-Roman"/>
          <w:color w:val="auto"/>
          <w:sz w:val="24"/>
          <w:szCs w:val="24"/>
        </w:rPr>
        <w:t xml:space="preserve">izsledki raziskav, ki </w:t>
      </w:r>
      <w:r w:rsidR="00DD2AEB" w:rsidRPr="008D5676">
        <w:rPr>
          <w:rFonts w:eastAsia="PalladioLOT-Roman" w:cs="PalladioLOT-Roman"/>
          <w:color w:val="auto"/>
          <w:sz w:val="24"/>
          <w:szCs w:val="24"/>
        </w:rPr>
        <w:t xml:space="preserve">kažejo, da je </w:t>
      </w:r>
      <w:r w:rsidR="00FD5408" w:rsidRPr="008D5676">
        <w:rPr>
          <w:rFonts w:eastAsia="PalladioLOT-Roman" w:cs="PalladioLOT-Roman"/>
          <w:color w:val="auto"/>
          <w:sz w:val="24"/>
          <w:szCs w:val="24"/>
        </w:rPr>
        <w:t>finančno in materialno prikrajšan</w:t>
      </w:r>
      <w:r w:rsidR="00DD2AEB" w:rsidRPr="008D5676">
        <w:rPr>
          <w:rFonts w:eastAsia="PalladioLOT-Roman" w:cs="PalladioLOT-Roman"/>
          <w:color w:val="auto"/>
          <w:sz w:val="24"/>
          <w:szCs w:val="24"/>
        </w:rPr>
        <w:t>je starejši</w:t>
      </w:r>
      <w:r w:rsidR="00EA289D" w:rsidRPr="00A906AC">
        <w:rPr>
          <w:rFonts w:eastAsia="PalladioLOT-Roman" w:cs="PalladioLOT-Roman"/>
          <w:color w:val="auto"/>
          <w:sz w:val="24"/>
          <w:szCs w:val="24"/>
        </w:rPr>
        <w:t>h</w:t>
      </w:r>
      <w:r w:rsidR="00DD2AEB" w:rsidRPr="008D5676">
        <w:rPr>
          <w:rFonts w:eastAsia="PalladioLOT-Roman" w:cs="PalladioLOT-Roman"/>
          <w:color w:val="auto"/>
          <w:sz w:val="24"/>
          <w:szCs w:val="24"/>
        </w:rPr>
        <w:t xml:space="preserve"> odrasli</w:t>
      </w:r>
      <w:r w:rsidR="00EA289D" w:rsidRPr="00A906AC">
        <w:rPr>
          <w:rFonts w:eastAsia="PalladioLOT-Roman" w:cs="PalladioLOT-Roman"/>
          <w:color w:val="auto"/>
          <w:sz w:val="24"/>
          <w:szCs w:val="24"/>
        </w:rPr>
        <w:t>h</w:t>
      </w:r>
      <w:r w:rsidR="00DD2AEB" w:rsidRPr="008D5676">
        <w:rPr>
          <w:rFonts w:eastAsia="PalladioLOT-Roman" w:cs="PalladioLOT-Roman"/>
          <w:color w:val="auto"/>
          <w:sz w:val="24"/>
          <w:szCs w:val="24"/>
        </w:rPr>
        <w:t xml:space="preserve"> večje </w:t>
      </w:r>
      <w:r w:rsidR="00D40EE5" w:rsidRPr="008D5676">
        <w:rPr>
          <w:rFonts w:eastAsia="PalladioLOT-Roman" w:cs="PalladioLOT-Roman"/>
          <w:color w:val="auto"/>
          <w:sz w:val="24"/>
          <w:szCs w:val="24"/>
        </w:rPr>
        <w:t xml:space="preserve">kot </w:t>
      </w:r>
      <w:r w:rsidR="00DD2AEB" w:rsidRPr="008D5676">
        <w:rPr>
          <w:rFonts w:eastAsia="PalladioLOT-Roman" w:cs="PalladioLOT-Roman"/>
          <w:color w:val="auto"/>
          <w:sz w:val="24"/>
          <w:szCs w:val="24"/>
        </w:rPr>
        <w:t xml:space="preserve"> pri p</w:t>
      </w:r>
      <w:r w:rsidR="00D40EE5" w:rsidRPr="008D5676">
        <w:rPr>
          <w:rFonts w:eastAsia="PalladioLOT-Roman" w:cs="PalladioLOT-Roman"/>
          <w:color w:val="auto"/>
          <w:sz w:val="24"/>
          <w:szCs w:val="24"/>
        </w:rPr>
        <w:t>reostal</w:t>
      </w:r>
      <w:r w:rsidR="00DD2AEB" w:rsidRPr="008D5676">
        <w:rPr>
          <w:rFonts w:eastAsia="PalladioLOT-Roman" w:cs="PalladioLOT-Roman"/>
          <w:color w:val="auto"/>
          <w:sz w:val="24"/>
          <w:szCs w:val="24"/>
        </w:rPr>
        <w:t>i</w:t>
      </w:r>
      <w:r w:rsidR="00D40EE5" w:rsidRPr="008D5676">
        <w:rPr>
          <w:rFonts w:eastAsia="PalladioLOT-Roman" w:cs="PalladioLOT-Roman"/>
          <w:color w:val="auto"/>
          <w:sz w:val="24"/>
          <w:szCs w:val="24"/>
        </w:rPr>
        <w:t xml:space="preserve"> popula</w:t>
      </w:r>
      <w:r w:rsidR="00D97C4A" w:rsidRPr="008D5676">
        <w:rPr>
          <w:rFonts w:eastAsia="PalladioLOT-Roman" w:cs="PalladioLOT-Roman"/>
          <w:color w:val="auto"/>
          <w:sz w:val="24"/>
          <w:szCs w:val="24"/>
        </w:rPr>
        <w:t>c</w:t>
      </w:r>
      <w:r w:rsidR="00D40EE5" w:rsidRPr="008D5676">
        <w:rPr>
          <w:rFonts w:eastAsia="PalladioLOT-Roman" w:cs="PalladioLOT-Roman"/>
          <w:color w:val="auto"/>
          <w:sz w:val="24"/>
          <w:szCs w:val="24"/>
        </w:rPr>
        <w:t>ij</w:t>
      </w:r>
      <w:r w:rsidR="00DD2AEB" w:rsidRPr="008D5676">
        <w:rPr>
          <w:rFonts w:eastAsia="PalladioLOT-Roman" w:cs="PalladioLOT-Roman"/>
          <w:color w:val="auto"/>
          <w:sz w:val="24"/>
          <w:szCs w:val="24"/>
        </w:rPr>
        <w:t>i</w:t>
      </w:r>
      <w:r w:rsidR="00D97C4A" w:rsidRPr="008D5676">
        <w:rPr>
          <w:rFonts w:eastAsia="PalladioLOT-Roman" w:cs="PalladioLOT-Roman"/>
          <w:color w:val="auto"/>
          <w:sz w:val="24"/>
          <w:szCs w:val="24"/>
        </w:rPr>
        <w:t xml:space="preserve"> v Sloveniji</w:t>
      </w:r>
      <w:r w:rsidR="007F06F5" w:rsidRPr="008D5676">
        <w:rPr>
          <w:rFonts w:eastAsia="PalladioLOT-Roman" w:cs="PalladioLOT-Roman"/>
          <w:color w:val="auto"/>
          <w:sz w:val="24"/>
          <w:szCs w:val="24"/>
        </w:rPr>
        <w:t xml:space="preserve">, saj je </w:t>
      </w:r>
      <w:r w:rsidR="00D97C4A" w:rsidRPr="008D5676">
        <w:rPr>
          <w:rFonts w:eastAsia="PalladioLOT-Roman" w:cs="PalladioLOT-Roman"/>
          <w:color w:val="auto"/>
          <w:sz w:val="24"/>
          <w:szCs w:val="24"/>
        </w:rPr>
        <w:t xml:space="preserve">njihovo tveganje revščine </w:t>
      </w:r>
      <w:r w:rsidR="00FE7F01" w:rsidRPr="008D5676">
        <w:rPr>
          <w:rFonts w:eastAsia="PalladioLOT-Roman" w:cs="PalladioLOT-Roman"/>
          <w:color w:val="auto"/>
          <w:sz w:val="24"/>
          <w:szCs w:val="24"/>
        </w:rPr>
        <w:t>kar</w:t>
      </w:r>
      <w:r w:rsidR="00DD2AEB" w:rsidRPr="008D5676">
        <w:rPr>
          <w:rFonts w:eastAsia="PalladioLOT-Roman" w:cs="PalladioLOT-Roman"/>
          <w:color w:val="auto"/>
          <w:sz w:val="24"/>
          <w:szCs w:val="24"/>
        </w:rPr>
        <w:t xml:space="preserve"> </w:t>
      </w:r>
      <w:r w:rsidR="00D97C4A" w:rsidRPr="008D5676">
        <w:rPr>
          <w:rFonts w:eastAsia="PalladioLOT-Roman" w:cs="PalladioLOT-Roman"/>
          <w:color w:val="auto"/>
          <w:sz w:val="24"/>
          <w:szCs w:val="24"/>
        </w:rPr>
        <w:t xml:space="preserve">dvakrat večje </w:t>
      </w:r>
      <w:r w:rsidR="00C74A94" w:rsidRPr="008D5676">
        <w:rPr>
          <w:rFonts w:eastAsia="PalladioLOT-Roman" w:cs="PalladioLOT-Roman"/>
          <w:color w:val="auto"/>
          <w:sz w:val="24"/>
          <w:szCs w:val="24"/>
        </w:rPr>
        <w:t>(</w:t>
      </w:r>
      <w:r w:rsidR="00A508AF" w:rsidRPr="008D5676">
        <w:rPr>
          <w:rFonts w:eastAsia="Times New Roman" w:cs="Times New Roman"/>
          <w:color w:val="auto"/>
          <w:sz w:val="24"/>
          <w:szCs w:val="24"/>
          <w:lang w:eastAsia="sl-SI"/>
        </w:rPr>
        <w:t>Hlebec, Mali in Filipovič Hrast</w:t>
      </w:r>
      <w:r w:rsidR="00A508AF" w:rsidRPr="008D5676">
        <w:rPr>
          <w:color w:val="auto"/>
          <w:sz w:val="24"/>
          <w:szCs w:val="24"/>
        </w:rPr>
        <w:t xml:space="preserve">, 2014; </w:t>
      </w:r>
      <w:r w:rsidR="00A508AF" w:rsidRPr="008D5676">
        <w:rPr>
          <w:rFonts w:eastAsia="Times New Roman" w:cs="Times New Roman"/>
          <w:color w:val="auto"/>
          <w:sz w:val="24"/>
          <w:szCs w:val="24"/>
          <w:lang w:eastAsia="sl-SI"/>
        </w:rPr>
        <w:t>Stropnik in Kump, 2008; Stropnik et al., 2010; Filipovič Hrast, Hlebec in Kavčič, 2012; SURS, 2018</w:t>
      </w:r>
      <w:r w:rsidR="00FD5408" w:rsidRPr="008D5676">
        <w:rPr>
          <w:rFonts w:eastAsia="PalladioLOT-Roman" w:cs="PalladioLOT-Roman"/>
          <w:color w:val="auto"/>
          <w:sz w:val="24"/>
          <w:szCs w:val="24"/>
        </w:rPr>
        <w:t>).</w:t>
      </w:r>
    </w:p>
    <w:p w:rsidR="00FD5408" w:rsidRPr="008D5676" w:rsidRDefault="00D5510F" w:rsidP="007C1FA3">
      <w:pPr>
        <w:autoSpaceDE w:val="0"/>
        <w:autoSpaceDN w:val="0"/>
        <w:adjustRightInd w:val="0"/>
        <w:spacing w:after="120" w:line="276" w:lineRule="auto"/>
        <w:jc w:val="both"/>
        <w:rPr>
          <w:rFonts w:eastAsia="PalladioLOT-Roman" w:cs="PalladioLOT-Roman"/>
          <w:color w:val="auto"/>
          <w:sz w:val="24"/>
          <w:szCs w:val="24"/>
        </w:rPr>
      </w:pPr>
      <w:r w:rsidRPr="008D5676">
        <w:rPr>
          <w:rFonts w:eastAsia="PalladioLOT-Roman" w:cs="PalladioLOT-Roman"/>
          <w:color w:val="auto"/>
          <w:sz w:val="24"/>
          <w:szCs w:val="24"/>
        </w:rPr>
        <w:t xml:space="preserve">Demografske projekcije napovedujejo, da </w:t>
      </w:r>
      <w:r w:rsidR="00FD5408" w:rsidRPr="008D5676">
        <w:rPr>
          <w:rFonts w:eastAsia="PalladioLOT-Roman" w:cs="PalladioLOT-Roman"/>
          <w:color w:val="auto"/>
          <w:sz w:val="24"/>
          <w:szCs w:val="24"/>
        </w:rPr>
        <w:t>bo proces staranja prebivalstva v Sloveniji bolj intenziven kot v drugih državah EU (</w:t>
      </w:r>
      <w:r w:rsidR="001D7ACF" w:rsidRPr="008D5676">
        <w:rPr>
          <w:rFonts w:eastAsia="PalladioLOT-Roman" w:cs="PalladioLOT-Roman"/>
          <w:color w:val="auto"/>
          <w:sz w:val="24"/>
          <w:szCs w:val="24"/>
        </w:rPr>
        <w:t>UMAR</w:t>
      </w:r>
      <w:r w:rsidR="00FD5408" w:rsidRPr="008D5676">
        <w:rPr>
          <w:rFonts w:eastAsia="PalladioLOT-Roman" w:cs="PalladioLOT-Roman"/>
          <w:color w:val="auto"/>
          <w:sz w:val="24"/>
          <w:szCs w:val="24"/>
        </w:rPr>
        <w:t xml:space="preserve">, 2018). </w:t>
      </w:r>
      <w:r w:rsidRPr="008D5676">
        <w:rPr>
          <w:rFonts w:eastAsia="PalladioLOT-Roman" w:cs="PalladioLOT-Roman"/>
          <w:color w:val="auto"/>
          <w:sz w:val="24"/>
          <w:szCs w:val="24"/>
        </w:rPr>
        <w:t xml:space="preserve">Slovenija bo imela do </w:t>
      </w:r>
      <w:r w:rsidR="00FD5408" w:rsidRPr="008D5676">
        <w:rPr>
          <w:rFonts w:eastAsia="PalladioLOT-Roman" w:cs="PalladioLOT-Roman"/>
          <w:color w:val="auto"/>
          <w:sz w:val="24"/>
          <w:szCs w:val="24"/>
        </w:rPr>
        <w:t>2020</w:t>
      </w:r>
      <w:r w:rsidR="00EA289D" w:rsidRPr="00A906AC">
        <w:rPr>
          <w:rFonts w:eastAsia="PalladioLOT-Roman" w:cs="PalladioLOT-Roman"/>
          <w:color w:val="auto"/>
          <w:sz w:val="24"/>
          <w:szCs w:val="24"/>
        </w:rPr>
        <w:t>. leta</w:t>
      </w:r>
      <w:r w:rsidR="00FD5408" w:rsidRPr="008D5676">
        <w:rPr>
          <w:rFonts w:eastAsia="PalladioLOT-Roman" w:cs="PalladioLOT-Roman"/>
          <w:color w:val="auto"/>
          <w:sz w:val="24"/>
          <w:szCs w:val="24"/>
        </w:rPr>
        <w:t xml:space="preserve"> 20,6</w:t>
      </w:r>
      <w:r w:rsidR="00EA289D" w:rsidRPr="00A906AC">
        <w:rPr>
          <w:rFonts w:eastAsia="PalladioLOT-Roman" w:cs="PalladioLOT-Roman"/>
          <w:color w:val="auto"/>
          <w:sz w:val="24"/>
          <w:szCs w:val="24"/>
        </w:rPr>
        <w:t xml:space="preserve"> </w:t>
      </w:r>
      <w:r w:rsidR="00FD5408" w:rsidRPr="008D5676">
        <w:rPr>
          <w:rFonts w:eastAsia="PalladioLOT-Roman" w:cs="PalladioLOT-Roman"/>
          <w:color w:val="auto"/>
          <w:sz w:val="24"/>
          <w:szCs w:val="24"/>
        </w:rPr>
        <w:t>% prebivalcev</w:t>
      </w:r>
      <w:r w:rsidR="00EA289D" w:rsidRPr="00A906AC">
        <w:rPr>
          <w:rFonts w:eastAsia="PalladioLOT-Roman" w:cs="PalladioLOT-Roman"/>
          <w:color w:val="auto"/>
          <w:sz w:val="24"/>
          <w:szCs w:val="24"/>
        </w:rPr>
        <w:t>,</w:t>
      </w:r>
      <w:r w:rsidR="00FD5408" w:rsidRPr="008D5676">
        <w:rPr>
          <w:rFonts w:eastAsia="PalladioLOT-Roman" w:cs="PalladioLOT-Roman"/>
          <w:color w:val="auto"/>
          <w:sz w:val="24"/>
          <w:szCs w:val="24"/>
        </w:rPr>
        <w:t xml:space="preserve"> starejših od 65 let</w:t>
      </w:r>
      <w:r w:rsidR="00D2401C" w:rsidRPr="00A906AC">
        <w:rPr>
          <w:rFonts w:eastAsia="PalladioLOT-Roman" w:cs="PalladioLOT-Roman"/>
          <w:color w:val="auto"/>
          <w:sz w:val="24"/>
          <w:szCs w:val="24"/>
        </w:rPr>
        <w:t>,</w:t>
      </w:r>
      <w:r w:rsidR="00FD5408" w:rsidRPr="008D5676">
        <w:rPr>
          <w:rFonts w:eastAsia="PalladioLOT-Roman" w:cs="PalladioLOT-Roman"/>
          <w:color w:val="auto"/>
          <w:sz w:val="24"/>
          <w:szCs w:val="24"/>
        </w:rPr>
        <w:t xml:space="preserve"> in 5,5</w:t>
      </w:r>
      <w:r w:rsidR="00EA289D" w:rsidRPr="00A906AC">
        <w:rPr>
          <w:rFonts w:eastAsia="PalladioLOT-Roman" w:cs="PalladioLOT-Roman"/>
          <w:color w:val="auto"/>
          <w:sz w:val="24"/>
          <w:szCs w:val="24"/>
        </w:rPr>
        <w:t xml:space="preserve"> </w:t>
      </w:r>
      <w:r w:rsidR="00FD5408" w:rsidRPr="008D5676">
        <w:rPr>
          <w:rFonts w:eastAsia="PalladioLOT-Roman" w:cs="PalladioLOT-Roman"/>
          <w:color w:val="auto"/>
          <w:sz w:val="24"/>
          <w:szCs w:val="24"/>
        </w:rPr>
        <w:t xml:space="preserve">% prebivalcev, starejših od 80 let, do leta 2050 pa se bo </w:t>
      </w:r>
      <w:r w:rsidR="00EA289D" w:rsidRPr="00A906AC">
        <w:rPr>
          <w:rFonts w:eastAsia="PalladioLOT-Roman" w:cs="PalladioLOT-Roman"/>
          <w:color w:val="auto"/>
          <w:sz w:val="24"/>
          <w:szCs w:val="24"/>
        </w:rPr>
        <w:t>ta delež</w:t>
      </w:r>
      <w:r w:rsidR="00FD5408" w:rsidRPr="008D5676">
        <w:rPr>
          <w:rFonts w:eastAsia="PalladioLOT-Roman" w:cs="PalladioLOT-Roman"/>
          <w:color w:val="auto"/>
          <w:sz w:val="24"/>
          <w:szCs w:val="24"/>
        </w:rPr>
        <w:t xml:space="preserve"> znatno povečal (29,9</w:t>
      </w:r>
      <w:r w:rsidR="00EA289D" w:rsidRPr="00A906AC">
        <w:rPr>
          <w:rFonts w:eastAsia="PalladioLOT-Roman" w:cs="PalladioLOT-Roman"/>
          <w:color w:val="auto"/>
          <w:sz w:val="24"/>
          <w:szCs w:val="24"/>
        </w:rPr>
        <w:t xml:space="preserve"> </w:t>
      </w:r>
      <w:r w:rsidR="00FD5408" w:rsidRPr="008D5676">
        <w:rPr>
          <w:rFonts w:eastAsia="PalladioLOT-Roman" w:cs="PalladioLOT-Roman"/>
          <w:color w:val="auto"/>
          <w:sz w:val="24"/>
          <w:szCs w:val="24"/>
        </w:rPr>
        <w:t>% za 65+ in</w:t>
      </w:r>
      <w:r w:rsidRPr="008D5676">
        <w:rPr>
          <w:rFonts w:eastAsia="PalladioLOT-Roman" w:cs="PalladioLOT-Roman"/>
          <w:color w:val="auto"/>
          <w:sz w:val="24"/>
          <w:szCs w:val="24"/>
        </w:rPr>
        <w:t xml:space="preserve"> 11,1</w:t>
      </w:r>
      <w:r w:rsidR="00EA289D" w:rsidRPr="00A906AC">
        <w:rPr>
          <w:rFonts w:eastAsia="PalladioLOT-Roman" w:cs="PalladioLOT-Roman"/>
          <w:color w:val="auto"/>
          <w:sz w:val="24"/>
          <w:szCs w:val="24"/>
        </w:rPr>
        <w:t xml:space="preserve"> </w:t>
      </w:r>
      <w:r w:rsidRPr="008D5676">
        <w:rPr>
          <w:rFonts w:eastAsia="PalladioLOT-Roman" w:cs="PalladioLOT-Roman"/>
          <w:color w:val="auto"/>
          <w:sz w:val="24"/>
          <w:szCs w:val="24"/>
        </w:rPr>
        <w:t xml:space="preserve">% za 80+) </w:t>
      </w:r>
      <w:r w:rsidR="001A67DD" w:rsidRPr="008D5676">
        <w:rPr>
          <w:rFonts w:eastAsia="Times New Roman" w:cs="Arial"/>
          <w:color w:val="auto"/>
          <w:sz w:val="24"/>
          <w:szCs w:val="24"/>
          <w:lang w:eastAsia="sl-SI"/>
        </w:rPr>
        <w:t xml:space="preserve">(Eurostat, 2017; Wolfgang et al., 2018). </w:t>
      </w:r>
      <w:r w:rsidR="00FD5408" w:rsidRPr="008D5676">
        <w:rPr>
          <w:rFonts w:eastAsia="PalladioLOT-Roman" w:cs="PalladioLOT-Roman"/>
          <w:color w:val="auto"/>
          <w:sz w:val="24"/>
          <w:szCs w:val="24"/>
        </w:rPr>
        <w:t>Danes lahko vsak novorojeni deček pričakuje, da bo živel 77,96 let</w:t>
      </w:r>
      <w:r w:rsidR="00EA289D" w:rsidRPr="00A906AC">
        <w:rPr>
          <w:rFonts w:eastAsia="PalladioLOT-Roman" w:cs="PalladioLOT-Roman"/>
          <w:color w:val="auto"/>
          <w:sz w:val="24"/>
          <w:szCs w:val="24"/>
        </w:rPr>
        <w:t>a</w:t>
      </w:r>
      <w:r w:rsidR="00FD5408" w:rsidRPr="008D5676">
        <w:rPr>
          <w:rFonts w:eastAsia="PalladioLOT-Roman" w:cs="PalladioLOT-Roman"/>
          <w:color w:val="auto"/>
          <w:sz w:val="24"/>
          <w:szCs w:val="24"/>
        </w:rPr>
        <w:t xml:space="preserve"> ali šest let manj kot novorojena deklica, ki lahko pričakuje, da bo živela 83,86 let</w:t>
      </w:r>
      <w:r w:rsidR="00EA289D" w:rsidRPr="00A906AC">
        <w:rPr>
          <w:rFonts w:eastAsia="PalladioLOT-Roman" w:cs="PalladioLOT-Roman"/>
          <w:color w:val="auto"/>
          <w:sz w:val="24"/>
          <w:szCs w:val="24"/>
        </w:rPr>
        <w:t>a</w:t>
      </w:r>
      <w:r w:rsidR="00FD5408" w:rsidRPr="008D5676">
        <w:rPr>
          <w:rFonts w:eastAsia="PalladioLOT-Roman" w:cs="PalladioLOT-Roman"/>
          <w:color w:val="auto"/>
          <w:sz w:val="24"/>
          <w:szCs w:val="24"/>
        </w:rPr>
        <w:t xml:space="preserve"> (S</w:t>
      </w:r>
      <w:r w:rsidR="00110114" w:rsidRPr="008D5676">
        <w:rPr>
          <w:rFonts w:eastAsia="PalladioLOT-Roman" w:cs="PalladioLOT-Roman"/>
          <w:color w:val="auto"/>
          <w:sz w:val="24"/>
          <w:szCs w:val="24"/>
        </w:rPr>
        <w:t>URS</w:t>
      </w:r>
      <w:r w:rsidR="00FD5408" w:rsidRPr="008D5676">
        <w:rPr>
          <w:rFonts w:eastAsia="PalladioLOT-Roman" w:cs="PalladioLOT-Roman"/>
          <w:color w:val="auto"/>
          <w:sz w:val="24"/>
          <w:szCs w:val="24"/>
        </w:rPr>
        <w:t>, 2018). Dolgoživost se razlikuje tudi med regijami: moški v vzhodni Sloveniji umrejo povprečno tri leta prej in ženske dve leti prej kot na zahodu. To je povezano tudi s predhodnimi ugotovitvami o polarizaciji med vzhodn</w:t>
      </w:r>
      <w:r w:rsidR="00110114" w:rsidRPr="008D5676">
        <w:rPr>
          <w:rFonts w:eastAsia="PalladioLOT-Roman" w:cs="PalladioLOT-Roman"/>
          <w:color w:val="auto"/>
          <w:sz w:val="24"/>
          <w:szCs w:val="24"/>
        </w:rPr>
        <w:t xml:space="preserve">im in zahodnim delom države </w:t>
      </w:r>
      <w:r w:rsidR="00FD5408" w:rsidRPr="008D5676">
        <w:rPr>
          <w:rFonts w:eastAsia="PalladioLOT-Roman" w:cs="PalladioLOT-Roman"/>
          <w:color w:val="auto"/>
          <w:sz w:val="24"/>
          <w:szCs w:val="24"/>
        </w:rPr>
        <w:t xml:space="preserve">glede kazalcev zdravja in drugih kazalnikov </w:t>
      </w:r>
      <w:r w:rsidR="00FD5408" w:rsidRPr="003E4343">
        <w:rPr>
          <w:rFonts w:eastAsia="PalladioLOT-Roman" w:cs="PalladioLOT-Roman"/>
          <w:color w:val="auto"/>
          <w:sz w:val="24"/>
          <w:szCs w:val="24"/>
        </w:rPr>
        <w:t>kakovosti življenja</w:t>
      </w:r>
      <w:r w:rsidR="007C1FA3" w:rsidRPr="003E4343">
        <w:rPr>
          <w:rFonts w:eastAsia="PalladioLOT-Roman" w:cs="PalladioLOT-Roman"/>
          <w:color w:val="auto"/>
          <w:sz w:val="24"/>
          <w:szCs w:val="24"/>
        </w:rPr>
        <w:t>,</w:t>
      </w:r>
      <w:r w:rsidR="00FD5408" w:rsidRPr="003E4343">
        <w:rPr>
          <w:rFonts w:eastAsia="PalladioLOT-Roman" w:cs="PalladioLOT-Roman"/>
          <w:color w:val="auto"/>
          <w:sz w:val="24"/>
          <w:szCs w:val="24"/>
        </w:rPr>
        <w:t xml:space="preserve"> kot so sreča, finančno zadovoljstvo, splošno zadovoljstvo z življenjem</w:t>
      </w:r>
      <w:r w:rsidR="00037C0D" w:rsidRPr="003E4343">
        <w:rPr>
          <w:rFonts w:eastAsia="PalladioLOT-Roman" w:cs="PalladioLOT-Roman"/>
          <w:color w:val="auto"/>
          <w:sz w:val="24"/>
          <w:szCs w:val="24"/>
        </w:rPr>
        <w:t xml:space="preserve"> itn</w:t>
      </w:r>
      <w:r w:rsidR="00FD5408" w:rsidRPr="003E4343">
        <w:rPr>
          <w:rFonts w:eastAsia="PalladioLOT-Roman" w:cs="PalladioLOT-Roman"/>
          <w:color w:val="auto"/>
          <w:sz w:val="24"/>
          <w:szCs w:val="24"/>
        </w:rPr>
        <w:t xml:space="preserve">., pri katerih </w:t>
      </w:r>
      <w:r w:rsidR="00037C0D" w:rsidRPr="003E4343">
        <w:rPr>
          <w:rFonts w:eastAsia="PalladioLOT-Roman" w:cs="PalladioLOT-Roman"/>
          <w:color w:val="auto"/>
          <w:sz w:val="24"/>
          <w:szCs w:val="24"/>
        </w:rPr>
        <w:t xml:space="preserve">sta </w:t>
      </w:r>
      <w:r w:rsidR="00FD5408" w:rsidRPr="003E4343">
        <w:rPr>
          <w:rFonts w:eastAsia="PalladioLOT-Roman" w:cs="PalladioLOT-Roman"/>
          <w:color w:val="auto"/>
          <w:sz w:val="24"/>
          <w:szCs w:val="24"/>
        </w:rPr>
        <w:t>Goriška in Obalno-</w:t>
      </w:r>
      <w:r w:rsidR="007C1FA3" w:rsidRPr="003E4343">
        <w:rPr>
          <w:rFonts w:eastAsia="PalladioLOT-Roman" w:cs="PalladioLOT-Roman"/>
          <w:color w:val="auto"/>
          <w:sz w:val="24"/>
          <w:szCs w:val="24"/>
        </w:rPr>
        <w:t>k</w:t>
      </w:r>
      <w:r w:rsidR="00FD5408" w:rsidRPr="003E4343">
        <w:rPr>
          <w:rFonts w:eastAsia="PalladioLOT-Roman" w:cs="PalladioLOT-Roman"/>
          <w:color w:val="auto"/>
          <w:sz w:val="24"/>
          <w:szCs w:val="24"/>
        </w:rPr>
        <w:t>raška regija dosega</w:t>
      </w:r>
      <w:r w:rsidR="00037C0D" w:rsidRPr="003E4343">
        <w:rPr>
          <w:rFonts w:eastAsia="PalladioLOT-Roman" w:cs="PalladioLOT-Roman"/>
          <w:color w:val="auto"/>
          <w:sz w:val="24"/>
          <w:szCs w:val="24"/>
        </w:rPr>
        <w:t>li</w:t>
      </w:r>
      <w:r w:rsidR="00FD5408" w:rsidRPr="003E4343">
        <w:rPr>
          <w:rFonts w:eastAsia="PalladioLOT-Roman" w:cs="PalladioLOT-Roman"/>
          <w:color w:val="auto"/>
          <w:sz w:val="24"/>
          <w:szCs w:val="24"/>
        </w:rPr>
        <w:t xml:space="preserve"> najvišje stopnje, Posavsk</w:t>
      </w:r>
      <w:r w:rsidR="003E4343" w:rsidRPr="003E4343">
        <w:rPr>
          <w:rFonts w:eastAsia="PalladioLOT-Roman" w:cs="PalladioLOT-Roman"/>
          <w:color w:val="auto"/>
          <w:sz w:val="24"/>
          <w:szCs w:val="24"/>
        </w:rPr>
        <w:t>a in P</w:t>
      </w:r>
      <w:r w:rsidR="00FD5408" w:rsidRPr="003E4343">
        <w:rPr>
          <w:rFonts w:eastAsia="PalladioLOT-Roman" w:cs="PalladioLOT-Roman"/>
          <w:color w:val="auto"/>
          <w:sz w:val="24"/>
          <w:szCs w:val="24"/>
        </w:rPr>
        <w:t>omurska pa najniž</w:t>
      </w:r>
      <w:r w:rsidR="007C1FA3" w:rsidRPr="003E4343">
        <w:rPr>
          <w:rFonts w:eastAsia="PalladioLOT-Roman" w:cs="PalladioLOT-Roman"/>
          <w:color w:val="auto"/>
          <w:sz w:val="24"/>
          <w:szCs w:val="24"/>
        </w:rPr>
        <w:t>j</w:t>
      </w:r>
      <w:r w:rsidR="00FD5408" w:rsidRPr="003E4343">
        <w:rPr>
          <w:rFonts w:eastAsia="PalladioLOT-Roman" w:cs="PalladioLOT-Roman"/>
          <w:color w:val="auto"/>
          <w:sz w:val="24"/>
          <w:szCs w:val="24"/>
        </w:rPr>
        <w:t>e</w:t>
      </w:r>
      <w:r w:rsidR="00FD5408" w:rsidRPr="008D5676">
        <w:rPr>
          <w:rFonts w:eastAsia="PalladioLOT-Roman" w:cs="PalladioLOT-Roman"/>
          <w:color w:val="auto"/>
          <w:sz w:val="24"/>
          <w:szCs w:val="24"/>
        </w:rPr>
        <w:t xml:space="preserve"> (Gregorčič in Hanžek, 2001).</w:t>
      </w:r>
    </w:p>
    <w:p w:rsidR="00FD5408" w:rsidRPr="008D5676" w:rsidRDefault="00FD5408" w:rsidP="00CF1AB1">
      <w:pPr>
        <w:autoSpaceDE w:val="0"/>
        <w:autoSpaceDN w:val="0"/>
        <w:adjustRightInd w:val="0"/>
        <w:spacing w:after="120" w:line="276" w:lineRule="auto"/>
        <w:jc w:val="both"/>
        <w:rPr>
          <w:rFonts w:eastAsia="PalladioLOT-Roman" w:cs="PalladioLOT-Roman"/>
          <w:color w:val="auto"/>
          <w:sz w:val="24"/>
          <w:szCs w:val="24"/>
        </w:rPr>
      </w:pPr>
      <w:r w:rsidRPr="008D5676">
        <w:rPr>
          <w:rFonts w:eastAsia="PalladioLOT-Roman" w:cs="PalladioLOT-Roman"/>
          <w:color w:val="auto"/>
          <w:sz w:val="24"/>
          <w:szCs w:val="24"/>
        </w:rPr>
        <w:t>Med 2.062.874 prebivalci Slovenije je 18,9</w:t>
      </w:r>
      <w:r w:rsidR="007C1FA3" w:rsidRPr="00A906AC">
        <w:rPr>
          <w:rFonts w:eastAsia="PalladioLOT-Roman" w:cs="PalladioLOT-Roman"/>
          <w:color w:val="auto"/>
          <w:sz w:val="24"/>
          <w:szCs w:val="24"/>
        </w:rPr>
        <w:t xml:space="preserve"> </w:t>
      </w:r>
      <w:r w:rsidRPr="008D5676">
        <w:rPr>
          <w:rFonts w:eastAsia="PalladioLOT-Roman" w:cs="PalladioLOT-Roman"/>
          <w:color w:val="auto"/>
          <w:sz w:val="24"/>
          <w:szCs w:val="24"/>
        </w:rPr>
        <w:t xml:space="preserve">% starejših od 65 let, četrtina teh pa je izpostavljena tveganju revščine. </w:t>
      </w:r>
      <w:r w:rsidR="003C62E7" w:rsidRPr="008D5676">
        <w:rPr>
          <w:rFonts w:eastAsia="PalladioLOT-Roman" w:cs="PalladioLOT-Roman"/>
          <w:color w:val="auto"/>
          <w:sz w:val="24"/>
          <w:szCs w:val="24"/>
        </w:rPr>
        <w:t>Od vseh 287.000 oseb pod pragom tveganja revščine je bilo 78.000 upokojencev (15,9 % vseh upokojencev), od tega 55.000 upokojenih žensk in 23.000 upokojenih moških</w:t>
      </w:r>
      <w:r w:rsidR="00DD2AEB" w:rsidRPr="008D5676">
        <w:rPr>
          <w:rFonts w:eastAsia="PalladioLOT-Roman" w:cs="PalladioLOT-Roman"/>
          <w:color w:val="auto"/>
          <w:sz w:val="24"/>
          <w:szCs w:val="24"/>
        </w:rPr>
        <w:t xml:space="preserve"> (SURS</w:t>
      </w:r>
      <w:r w:rsidR="00335D65" w:rsidRPr="008D5676">
        <w:rPr>
          <w:rFonts w:eastAsia="PalladioLOT-Roman" w:cs="PalladioLOT-Roman"/>
          <w:color w:val="auto"/>
          <w:sz w:val="24"/>
          <w:szCs w:val="24"/>
        </w:rPr>
        <w:t>, 2018</w:t>
      </w:r>
      <w:r w:rsidRPr="008D5676">
        <w:rPr>
          <w:rFonts w:eastAsia="PalladioLOT-Roman" w:cs="PalladioLOT-Roman"/>
          <w:color w:val="auto"/>
          <w:sz w:val="24"/>
          <w:szCs w:val="24"/>
        </w:rPr>
        <w:t>). Razširjenost</w:t>
      </w:r>
      <w:r w:rsidR="003C62E7" w:rsidRPr="008D5676">
        <w:rPr>
          <w:rFonts w:eastAsia="PalladioLOT-Roman" w:cs="PalladioLOT-Roman"/>
          <w:color w:val="auto"/>
          <w:sz w:val="24"/>
          <w:szCs w:val="24"/>
        </w:rPr>
        <w:t xml:space="preserve"> tveganja</w:t>
      </w:r>
      <w:r w:rsidRPr="008D5676">
        <w:rPr>
          <w:rFonts w:eastAsia="PalladioLOT-Roman" w:cs="PalladioLOT-Roman"/>
          <w:color w:val="auto"/>
          <w:sz w:val="24"/>
          <w:szCs w:val="24"/>
        </w:rPr>
        <w:t xml:space="preserve"> socialne izključenosti starejših </w:t>
      </w:r>
      <w:r w:rsidR="00286A1C" w:rsidRPr="008D5676">
        <w:rPr>
          <w:rFonts w:eastAsia="PalladioLOT-Roman" w:cs="PalladioLOT-Roman"/>
          <w:color w:val="auto"/>
          <w:sz w:val="24"/>
          <w:szCs w:val="24"/>
        </w:rPr>
        <w:t>odras</w:t>
      </w:r>
      <w:r w:rsidR="003B79E6" w:rsidRPr="00A906AC">
        <w:rPr>
          <w:rFonts w:eastAsia="PalladioLOT-Roman" w:cs="PalladioLOT-Roman"/>
          <w:color w:val="auto"/>
          <w:sz w:val="24"/>
          <w:szCs w:val="24"/>
        </w:rPr>
        <w:t>l</w:t>
      </w:r>
      <w:r w:rsidR="00286A1C" w:rsidRPr="008D5676">
        <w:rPr>
          <w:rFonts w:eastAsia="PalladioLOT-Roman" w:cs="PalladioLOT-Roman"/>
          <w:color w:val="auto"/>
          <w:sz w:val="24"/>
          <w:szCs w:val="24"/>
        </w:rPr>
        <w:t xml:space="preserve">ih </w:t>
      </w:r>
      <w:r w:rsidRPr="008D5676">
        <w:rPr>
          <w:rFonts w:eastAsia="PalladioLOT-Roman" w:cs="PalladioLOT-Roman"/>
          <w:color w:val="auto"/>
          <w:sz w:val="24"/>
          <w:szCs w:val="24"/>
        </w:rPr>
        <w:t>v Sloveniji je nad pov</w:t>
      </w:r>
      <w:r w:rsidR="00286A1C" w:rsidRPr="008D5676">
        <w:rPr>
          <w:rFonts w:eastAsia="PalladioLOT-Roman" w:cs="PalladioLOT-Roman"/>
          <w:color w:val="auto"/>
          <w:sz w:val="24"/>
          <w:szCs w:val="24"/>
        </w:rPr>
        <w:t>prečjem</w:t>
      </w:r>
      <w:r w:rsidR="00CF1AB1" w:rsidRPr="00A906AC">
        <w:rPr>
          <w:rFonts w:eastAsia="PalladioLOT-Roman" w:cs="PalladioLOT-Roman"/>
          <w:color w:val="auto"/>
          <w:sz w:val="24"/>
          <w:szCs w:val="24"/>
        </w:rPr>
        <w:t xml:space="preserve"> EU</w:t>
      </w:r>
      <w:r w:rsidR="00B26442" w:rsidRPr="008D5676">
        <w:rPr>
          <w:rFonts w:eastAsia="PalladioLOT-Roman" w:cs="PalladioLOT-Roman"/>
          <w:color w:val="auto"/>
          <w:sz w:val="24"/>
          <w:szCs w:val="24"/>
        </w:rPr>
        <w:t xml:space="preserve"> (Eurostat, 2018</w:t>
      </w:r>
      <w:r w:rsidR="00DD55AB" w:rsidRPr="008D5676">
        <w:rPr>
          <w:rFonts w:eastAsia="PalladioLOT-Roman" w:cs="PalladioLOT-Roman"/>
          <w:color w:val="auto"/>
          <w:sz w:val="24"/>
          <w:szCs w:val="24"/>
        </w:rPr>
        <w:t xml:space="preserve">; </w:t>
      </w:r>
      <w:r w:rsidRPr="008D5676">
        <w:rPr>
          <w:rFonts w:eastAsia="PalladioLOT-Roman" w:cs="PalladioLOT-Roman"/>
          <w:color w:val="auto"/>
          <w:sz w:val="24"/>
          <w:szCs w:val="24"/>
        </w:rPr>
        <w:t xml:space="preserve">študija SHARE). Najbolj </w:t>
      </w:r>
      <w:r w:rsidR="0008003D" w:rsidRPr="008D5676">
        <w:rPr>
          <w:rFonts w:eastAsia="PalladioLOT-Roman" w:cs="PalladioLOT-Roman"/>
          <w:color w:val="auto"/>
          <w:sz w:val="24"/>
          <w:szCs w:val="24"/>
        </w:rPr>
        <w:t>pereča</w:t>
      </w:r>
      <w:r w:rsidRPr="008D5676">
        <w:rPr>
          <w:rFonts w:eastAsia="PalladioLOT-Roman" w:cs="PalladioLOT-Roman"/>
          <w:color w:val="auto"/>
          <w:sz w:val="24"/>
          <w:szCs w:val="24"/>
        </w:rPr>
        <w:t xml:space="preserve"> je prostorska izključenost, saj skoraj polovica starejših v Sloveniji nima dostopa do osnovnih storitev v svojem lokalnem okolju; to je višje od povprečja prebivalstva in veliko višje od povprečij držav EU-28 in celo </w:t>
      </w:r>
      <w:r w:rsidR="00CF1AB1" w:rsidRPr="00A22320">
        <w:rPr>
          <w:rFonts w:eastAsia="PalladioLOT-Roman" w:cs="PalladioLOT-Roman"/>
          <w:color w:val="auto"/>
          <w:sz w:val="24"/>
          <w:szCs w:val="24"/>
        </w:rPr>
        <w:t xml:space="preserve">od </w:t>
      </w:r>
      <w:r w:rsidRPr="008D5676">
        <w:rPr>
          <w:rFonts w:eastAsia="PalladioLOT-Roman" w:cs="PalladioLOT-Roman"/>
          <w:color w:val="auto"/>
          <w:sz w:val="24"/>
          <w:szCs w:val="24"/>
        </w:rPr>
        <w:t xml:space="preserve">držav nečlanic EU-12 (Filipovič Hrast, Hlebec in Kavčič, 2012). Po indeksu aktivnega staranja (AAI) se Slovenija </w:t>
      </w:r>
      <w:r w:rsidR="003C62E7" w:rsidRPr="008D5676">
        <w:rPr>
          <w:rFonts w:eastAsia="PalladioLOT-Roman" w:cs="PalladioLOT-Roman"/>
          <w:color w:val="auto"/>
          <w:sz w:val="24"/>
          <w:szCs w:val="24"/>
        </w:rPr>
        <w:t xml:space="preserve">med državami EU-28 </w:t>
      </w:r>
      <w:r w:rsidRPr="008D5676">
        <w:rPr>
          <w:rFonts w:eastAsia="PalladioLOT-Roman" w:cs="PalladioLOT-Roman"/>
          <w:color w:val="auto"/>
          <w:sz w:val="24"/>
          <w:szCs w:val="24"/>
        </w:rPr>
        <w:t>uvršča med države z najnižjimi vrednostmi (s</w:t>
      </w:r>
      <w:r w:rsidR="003C62E7" w:rsidRPr="008D5676">
        <w:rPr>
          <w:rFonts w:eastAsia="PalladioLOT-Roman" w:cs="PalladioLOT-Roman"/>
          <w:color w:val="auto"/>
          <w:sz w:val="24"/>
          <w:szCs w:val="24"/>
        </w:rPr>
        <w:t>kupaj s</w:t>
      </w:r>
      <w:r w:rsidRPr="008D5676">
        <w:rPr>
          <w:rFonts w:eastAsia="PalladioLOT-Roman" w:cs="PalladioLOT-Roman"/>
          <w:color w:val="auto"/>
          <w:sz w:val="24"/>
          <w:szCs w:val="24"/>
        </w:rPr>
        <w:t xml:space="preserve"> Poljsko, Grčijo, Slovaško, Madžarsko, Bolgarijo in Romunijo)</w:t>
      </w:r>
      <w:r w:rsidR="003C62E7" w:rsidRPr="008D5676">
        <w:rPr>
          <w:rFonts w:eastAsia="PalladioLOT-Roman" w:cs="PalladioLOT-Roman"/>
          <w:color w:val="auto"/>
          <w:sz w:val="24"/>
          <w:szCs w:val="24"/>
        </w:rPr>
        <w:t xml:space="preserve"> in svoj položaj še poslabšuje</w:t>
      </w:r>
      <w:r w:rsidRPr="008D5676">
        <w:rPr>
          <w:rFonts w:eastAsia="PalladioLOT-Roman" w:cs="PalladioLOT-Roman"/>
          <w:color w:val="auto"/>
          <w:sz w:val="24"/>
          <w:szCs w:val="24"/>
        </w:rPr>
        <w:t xml:space="preserve"> (</w:t>
      </w:r>
      <w:r w:rsidR="00CF1AB1" w:rsidRPr="00A22320">
        <w:rPr>
          <w:rFonts w:eastAsia="PalladioLOT-Roman" w:cs="PalladioLOT-Roman"/>
          <w:color w:val="auto"/>
          <w:sz w:val="24"/>
          <w:szCs w:val="24"/>
        </w:rPr>
        <w:t>z</w:t>
      </w:r>
      <w:r w:rsidRPr="008D5676">
        <w:rPr>
          <w:rFonts w:eastAsia="PalladioLOT-Roman" w:cs="PalladioLOT-Roman"/>
          <w:color w:val="auto"/>
          <w:sz w:val="24"/>
          <w:szCs w:val="24"/>
        </w:rPr>
        <w:t xml:space="preserve"> 20. </w:t>
      </w:r>
      <w:r w:rsidR="003C62E7" w:rsidRPr="008D5676">
        <w:rPr>
          <w:rFonts w:eastAsia="PalladioLOT-Roman" w:cs="PalladioLOT-Roman"/>
          <w:color w:val="auto"/>
          <w:sz w:val="24"/>
          <w:szCs w:val="24"/>
        </w:rPr>
        <w:t xml:space="preserve">mesta </w:t>
      </w:r>
      <w:r w:rsidRPr="008D5676">
        <w:rPr>
          <w:rFonts w:eastAsia="PalladioLOT-Roman" w:cs="PalladioLOT-Roman"/>
          <w:color w:val="auto"/>
          <w:sz w:val="24"/>
          <w:szCs w:val="24"/>
        </w:rPr>
        <w:t xml:space="preserve">v letu 2012 </w:t>
      </w:r>
      <w:r w:rsidR="003C62E7" w:rsidRPr="008D5676">
        <w:rPr>
          <w:rFonts w:eastAsia="PalladioLOT-Roman" w:cs="PalladioLOT-Roman"/>
          <w:color w:val="auto"/>
          <w:sz w:val="24"/>
          <w:szCs w:val="24"/>
        </w:rPr>
        <w:t>na</w:t>
      </w:r>
      <w:r w:rsidRPr="008D5676">
        <w:rPr>
          <w:rFonts w:eastAsia="PalladioLOT-Roman" w:cs="PalladioLOT-Roman"/>
          <w:color w:val="auto"/>
          <w:sz w:val="24"/>
          <w:szCs w:val="24"/>
        </w:rPr>
        <w:t xml:space="preserve"> 23. </w:t>
      </w:r>
      <w:r w:rsidR="003C62E7" w:rsidRPr="008D5676">
        <w:rPr>
          <w:rFonts w:eastAsia="PalladioLOT-Roman" w:cs="PalladioLOT-Roman"/>
          <w:color w:val="auto"/>
          <w:sz w:val="24"/>
          <w:szCs w:val="24"/>
        </w:rPr>
        <w:t xml:space="preserve">mesto </w:t>
      </w:r>
      <w:r w:rsidRPr="008D5676">
        <w:rPr>
          <w:rFonts w:eastAsia="PalladioLOT-Roman" w:cs="PalladioLOT-Roman"/>
          <w:color w:val="auto"/>
          <w:sz w:val="24"/>
          <w:szCs w:val="24"/>
        </w:rPr>
        <w:t xml:space="preserve">v letu 2014) (UNECE in EU, 2014). Slovenija ima </w:t>
      </w:r>
      <w:r w:rsidR="003C62E7" w:rsidRPr="008D5676">
        <w:rPr>
          <w:rFonts w:eastAsia="PalladioLOT-Roman" w:cs="PalladioLOT-Roman"/>
          <w:color w:val="auto"/>
          <w:sz w:val="24"/>
          <w:szCs w:val="24"/>
        </w:rPr>
        <w:t xml:space="preserve">glede na vse članice EU </w:t>
      </w:r>
      <w:r w:rsidRPr="008D5676">
        <w:rPr>
          <w:rFonts w:eastAsia="PalladioLOT-Roman" w:cs="PalladioLOT-Roman"/>
          <w:color w:val="auto"/>
          <w:sz w:val="24"/>
          <w:szCs w:val="24"/>
        </w:rPr>
        <w:t>tudi najnižjo stopnjo zaposlenosti med starejšim prebivalstvom (55</w:t>
      </w:r>
      <w:r w:rsidR="00CF1AB1" w:rsidRPr="00A22320">
        <w:rPr>
          <w:rFonts w:eastAsia="PalladioLOT-Roman" w:cs="PalladioLOT-Roman"/>
          <w:color w:val="auto"/>
          <w:sz w:val="24"/>
          <w:szCs w:val="24"/>
        </w:rPr>
        <w:t>‒</w:t>
      </w:r>
      <w:r w:rsidRPr="008D5676">
        <w:rPr>
          <w:rFonts w:eastAsia="PalladioLOT-Roman" w:cs="PalladioLOT-Roman"/>
          <w:color w:val="auto"/>
          <w:sz w:val="24"/>
          <w:szCs w:val="24"/>
        </w:rPr>
        <w:t>64 let) (UNECE in EU, 2014</w:t>
      </w:r>
      <w:r w:rsidR="00B26442" w:rsidRPr="008D5676">
        <w:rPr>
          <w:rFonts w:eastAsia="PalladioLOT-Roman" w:cs="PalladioLOT-Roman"/>
          <w:color w:val="auto"/>
          <w:sz w:val="24"/>
          <w:szCs w:val="24"/>
        </w:rPr>
        <w:t>;</w:t>
      </w:r>
      <w:r w:rsidRPr="008D5676">
        <w:rPr>
          <w:rFonts w:eastAsia="PalladioLOT-Roman" w:cs="PalladioLOT-Roman"/>
          <w:color w:val="auto"/>
          <w:sz w:val="24"/>
          <w:szCs w:val="24"/>
        </w:rPr>
        <w:t xml:space="preserve"> UMAR, 2018).</w:t>
      </w:r>
    </w:p>
    <w:p w:rsidR="00FD5408" w:rsidRPr="008D5676" w:rsidRDefault="00B6560D" w:rsidP="00CF1AB1">
      <w:pPr>
        <w:autoSpaceDE w:val="0"/>
        <w:autoSpaceDN w:val="0"/>
        <w:adjustRightInd w:val="0"/>
        <w:spacing w:after="120" w:line="276" w:lineRule="auto"/>
        <w:jc w:val="both"/>
        <w:rPr>
          <w:rFonts w:eastAsia="PalladioLOT-Roman" w:cs="PalladioLOT-Roman"/>
          <w:color w:val="auto"/>
          <w:sz w:val="24"/>
          <w:szCs w:val="24"/>
        </w:rPr>
      </w:pPr>
      <w:r w:rsidRPr="008D5676">
        <w:rPr>
          <w:rFonts w:eastAsia="PalladioLOT-Roman" w:cs="PalladioLOT-Roman"/>
          <w:color w:val="auto"/>
          <w:sz w:val="24"/>
          <w:szCs w:val="24"/>
        </w:rPr>
        <w:t>Nacionalne strategije pa predvidevajo p</w:t>
      </w:r>
      <w:r w:rsidR="00FD5408" w:rsidRPr="008D5676">
        <w:rPr>
          <w:rFonts w:eastAsia="PalladioLOT-Roman" w:cs="PalladioLOT-Roman"/>
          <w:color w:val="auto"/>
          <w:sz w:val="24"/>
          <w:szCs w:val="24"/>
        </w:rPr>
        <w:t>ovsem</w:t>
      </w:r>
      <w:r w:rsidRPr="008D5676">
        <w:rPr>
          <w:rFonts w:eastAsia="PalladioLOT-Roman" w:cs="PalladioLOT-Roman"/>
          <w:color w:val="auto"/>
          <w:sz w:val="24"/>
          <w:szCs w:val="24"/>
        </w:rPr>
        <w:t xml:space="preserve"> drugačno</w:t>
      </w:r>
      <w:r w:rsidR="00FD5408" w:rsidRPr="008D5676">
        <w:rPr>
          <w:rFonts w:eastAsia="PalladioLOT-Roman" w:cs="PalladioLOT-Roman"/>
          <w:color w:val="auto"/>
          <w:sz w:val="24"/>
          <w:szCs w:val="24"/>
        </w:rPr>
        <w:t xml:space="preserve"> realnost</w:t>
      </w:r>
      <w:r w:rsidR="003C62E7" w:rsidRPr="008D5676">
        <w:rPr>
          <w:rFonts w:eastAsia="PalladioLOT-Roman" w:cs="PalladioLOT-Roman"/>
          <w:color w:val="auto"/>
          <w:sz w:val="24"/>
          <w:szCs w:val="24"/>
        </w:rPr>
        <w:t>, kot je bila pravkar predstavljena</w:t>
      </w:r>
      <w:r w:rsidRPr="008D5676">
        <w:rPr>
          <w:rFonts w:eastAsia="PalladioLOT-Roman" w:cs="PalladioLOT-Roman"/>
          <w:color w:val="auto"/>
          <w:sz w:val="24"/>
          <w:szCs w:val="24"/>
        </w:rPr>
        <w:t xml:space="preserve">: </w:t>
      </w:r>
      <w:r w:rsidR="00FD5408" w:rsidRPr="008D5676">
        <w:rPr>
          <w:rFonts w:eastAsia="PalladioLOT-Roman" w:cs="PalladioLOT-Roman"/>
          <w:color w:val="auto"/>
          <w:sz w:val="24"/>
          <w:szCs w:val="24"/>
        </w:rPr>
        <w:t xml:space="preserve">glavni cilj </w:t>
      </w:r>
      <w:r w:rsidR="00FD5408" w:rsidRPr="008D5676">
        <w:rPr>
          <w:rFonts w:eastAsia="PalladioLOT-Roman" w:cs="PalladioLOT-Roman"/>
          <w:b/>
          <w:color w:val="auto"/>
          <w:sz w:val="24"/>
          <w:szCs w:val="24"/>
        </w:rPr>
        <w:t>Strategije razvoja Slovenije 2030</w:t>
      </w:r>
      <w:r w:rsidR="00FD5408" w:rsidRPr="008D5676">
        <w:rPr>
          <w:rFonts w:eastAsia="PalladioLOT-Roman" w:cs="PalladioLOT-Roman"/>
          <w:color w:val="auto"/>
          <w:sz w:val="24"/>
          <w:szCs w:val="24"/>
        </w:rPr>
        <w:t xml:space="preserve">, </w:t>
      </w:r>
      <w:r w:rsidRPr="008D5676">
        <w:rPr>
          <w:rFonts w:eastAsia="PalladioLOT-Roman" w:cs="PalladioLOT-Roman"/>
          <w:color w:val="auto"/>
          <w:sz w:val="24"/>
          <w:szCs w:val="24"/>
        </w:rPr>
        <w:t>ki je bila sprejet</w:t>
      </w:r>
      <w:r w:rsidR="00CF1AB1" w:rsidRPr="00A22320">
        <w:rPr>
          <w:rFonts w:eastAsia="PalladioLOT-Roman" w:cs="PalladioLOT-Roman"/>
          <w:color w:val="auto"/>
          <w:sz w:val="24"/>
          <w:szCs w:val="24"/>
        </w:rPr>
        <w:t>a</w:t>
      </w:r>
      <w:r w:rsidRPr="008D5676">
        <w:rPr>
          <w:rFonts w:eastAsia="PalladioLOT-Roman" w:cs="PalladioLOT-Roman"/>
          <w:color w:val="auto"/>
          <w:sz w:val="24"/>
          <w:szCs w:val="24"/>
        </w:rPr>
        <w:t xml:space="preserve"> decembra </w:t>
      </w:r>
      <w:r w:rsidRPr="008D5676">
        <w:rPr>
          <w:rFonts w:eastAsia="PalladioLOT-Roman" w:cs="PalladioLOT-Roman"/>
          <w:color w:val="auto"/>
          <w:sz w:val="24"/>
          <w:szCs w:val="24"/>
        </w:rPr>
        <w:lastRenderedPageBreak/>
        <w:t>2017, napoveduje</w:t>
      </w:r>
      <w:r w:rsidR="00CF1AB1" w:rsidRPr="00A22320">
        <w:rPr>
          <w:rFonts w:eastAsia="PalladioLOT-Roman" w:cs="PalladioLOT-Roman"/>
          <w:color w:val="auto"/>
          <w:sz w:val="24"/>
          <w:szCs w:val="24"/>
        </w:rPr>
        <w:t>, da bo</w:t>
      </w:r>
      <w:r w:rsidR="0053167E" w:rsidRPr="008D5676">
        <w:rPr>
          <w:rFonts w:eastAsia="PalladioLOT-Roman" w:cs="PalladioLOT-Roman"/>
          <w:color w:val="auto"/>
          <w:sz w:val="24"/>
          <w:szCs w:val="24"/>
        </w:rPr>
        <w:t xml:space="preserve"> »</w:t>
      </w:r>
      <w:r w:rsidR="00FD5408" w:rsidRPr="008D5676">
        <w:rPr>
          <w:rFonts w:eastAsia="PalladioLOT-Roman" w:cs="PalladioLOT-Roman"/>
          <w:color w:val="auto"/>
          <w:sz w:val="24"/>
          <w:szCs w:val="24"/>
        </w:rPr>
        <w:t>Slovenija, država z vis</w:t>
      </w:r>
      <w:r w:rsidR="0053167E" w:rsidRPr="008D5676">
        <w:rPr>
          <w:rFonts w:eastAsia="PalladioLOT-Roman" w:cs="PalladioLOT-Roman"/>
          <w:color w:val="auto"/>
          <w:sz w:val="24"/>
          <w:szCs w:val="24"/>
        </w:rPr>
        <w:t>oko kakovostjo življenja za vse«</w:t>
      </w:r>
      <w:r w:rsidR="00FD5408" w:rsidRPr="008D5676">
        <w:rPr>
          <w:rFonts w:eastAsia="PalladioLOT-Roman" w:cs="PalladioLOT-Roman"/>
          <w:color w:val="auto"/>
          <w:sz w:val="24"/>
          <w:szCs w:val="24"/>
        </w:rPr>
        <w:t>. Ena njenih petih</w:t>
      </w:r>
      <w:r w:rsidR="0053167E" w:rsidRPr="008D5676">
        <w:rPr>
          <w:rFonts w:eastAsia="PalladioLOT-Roman" w:cs="PalladioLOT-Roman"/>
          <w:color w:val="auto"/>
          <w:sz w:val="24"/>
          <w:szCs w:val="24"/>
        </w:rPr>
        <w:t xml:space="preserve"> strateških usmeritev je »učenje za </w:t>
      </w:r>
      <w:r w:rsidR="00CF1AB1" w:rsidRPr="00A22320">
        <w:rPr>
          <w:rFonts w:eastAsia="PalladioLOT-Roman" w:cs="PalladioLOT-Roman"/>
          <w:color w:val="auto"/>
          <w:sz w:val="24"/>
          <w:szCs w:val="24"/>
        </w:rPr>
        <w:t xml:space="preserve">življenje </w:t>
      </w:r>
      <w:r w:rsidR="0053167E" w:rsidRPr="008D5676">
        <w:rPr>
          <w:rFonts w:eastAsia="PalladioLOT-Roman" w:cs="PalladioLOT-Roman"/>
          <w:color w:val="auto"/>
          <w:sz w:val="24"/>
          <w:szCs w:val="24"/>
        </w:rPr>
        <w:t>in skozi življenje«</w:t>
      </w:r>
      <w:r w:rsidR="00FD5408" w:rsidRPr="008D5676">
        <w:rPr>
          <w:rFonts w:eastAsia="PalladioLOT-Roman" w:cs="PalladioLOT-Roman"/>
          <w:color w:val="auto"/>
          <w:sz w:val="24"/>
          <w:szCs w:val="24"/>
        </w:rPr>
        <w:t xml:space="preserve">. </w:t>
      </w:r>
      <w:r w:rsidR="00FD5408" w:rsidRPr="008D5676">
        <w:rPr>
          <w:rFonts w:eastAsia="PalladioLOT-Roman" w:cs="PalladioLOT-Roman"/>
          <w:b/>
          <w:color w:val="auto"/>
          <w:sz w:val="24"/>
          <w:szCs w:val="24"/>
        </w:rPr>
        <w:t xml:space="preserve">Strategija </w:t>
      </w:r>
      <w:r w:rsidR="007075E9">
        <w:rPr>
          <w:rFonts w:eastAsia="PalladioLOT-Roman" w:cs="PalladioLOT-Roman"/>
          <w:b/>
          <w:color w:val="auto"/>
          <w:sz w:val="24"/>
          <w:szCs w:val="24"/>
        </w:rPr>
        <w:t>dolgožive družbe</w:t>
      </w:r>
      <w:r w:rsidR="00FD5408" w:rsidRPr="008D5676">
        <w:rPr>
          <w:rFonts w:eastAsia="PalladioLOT-Roman" w:cs="PalladioLOT-Roman"/>
          <w:color w:val="auto"/>
          <w:sz w:val="24"/>
          <w:szCs w:val="24"/>
        </w:rPr>
        <w:t xml:space="preserve">, </w:t>
      </w:r>
      <w:r w:rsidRPr="008D5676">
        <w:rPr>
          <w:rFonts w:eastAsia="PalladioLOT-Roman" w:cs="PalladioLOT-Roman"/>
          <w:color w:val="auto"/>
          <w:sz w:val="24"/>
          <w:szCs w:val="24"/>
        </w:rPr>
        <w:t xml:space="preserve">ki je bila </w:t>
      </w:r>
      <w:r w:rsidR="00FD5408" w:rsidRPr="008D5676">
        <w:rPr>
          <w:rFonts w:eastAsia="PalladioLOT-Roman" w:cs="PalladioLOT-Roman"/>
          <w:color w:val="auto"/>
          <w:sz w:val="24"/>
          <w:szCs w:val="24"/>
        </w:rPr>
        <w:t xml:space="preserve">sprejeta januarja 2018 (UMAR, 2018), se za zagotavljanje zadostne delovne </w:t>
      </w:r>
      <w:r w:rsidRPr="008D5676">
        <w:rPr>
          <w:rFonts w:eastAsia="PalladioLOT-Roman" w:cs="PalladioLOT-Roman"/>
          <w:color w:val="auto"/>
          <w:sz w:val="24"/>
          <w:szCs w:val="24"/>
        </w:rPr>
        <w:t>sile</w:t>
      </w:r>
      <w:r w:rsidR="00FD5408" w:rsidRPr="008D5676">
        <w:rPr>
          <w:rFonts w:eastAsia="PalladioLOT-Roman" w:cs="PalladioLOT-Roman"/>
          <w:color w:val="auto"/>
          <w:sz w:val="24"/>
          <w:szCs w:val="24"/>
        </w:rPr>
        <w:t xml:space="preserve"> </w:t>
      </w:r>
      <w:r w:rsidRPr="008D5676">
        <w:rPr>
          <w:rFonts w:eastAsia="PalladioLOT-Roman" w:cs="PalladioLOT-Roman"/>
          <w:color w:val="auto"/>
          <w:sz w:val="24"/>
          <w:szCs w:val="24"/>
        </w:rPr>
        <w:t xml:space="preserve">zavzema </w:t>
      </w:r>
      <w:r w:rsidR="00DD2AEB" w:rsidRPr="008D5676">
        <w:rPr>
          <w:rFonts w:eastAsia="PalladioLOT-Roman" w:cs="PalladioLOT-Roman"/>
          <w:color w:val="auto"/>
          <w:sz w:val="24"/>
          <w:szCs w:val="24"/>
        </w:rPr>
        <w:t>p</w:t>
      </w:r>
      <w:r w:rsidR="000E1308" w:rsidRPr="008D5676">
        <w:rPr>
          <w:rFonts w:eastAsia="PalladioLOT-Roman" w:cs="PalladioLOT-Roman"/>
          <w:color w:val="auto"/>
          <w:sz w:val="24"/>
          <w:szCs w:val="24"/>
        </w:rPr>
        <w:t xml:space="preserve">redvsem </w:t>
      </w:r>
      <w:r w:rsidR="00FD5408" w:rsidRPr="008D5676">
        <w:rPr>
          <w:rFonts w:eastAsia="PalladioLOT-Roman" w:cs="PalladioLOT-Roman"/>
          <w:color w:val="auto"/>
          <w:sz w:val="24"/>
          <w:szCs w:val="24"/>
        </w:rPr>
        <w:t xml:space="preserve">s spodbujanjem </w:t>
      </w:r>
      <w:r w:rsidR="000E77F3" w:rsidRPr="008D5676">
        <w:rPr>
          <w:rFonts w:eastAsia="PalladioLOT-Roman" w:cs="PalladioLOT-Roman"/>
          <w:color w:val="auto"/>
          <w:sz w:val="24"/>
          <w:szCs w:val="24"/>
        </w:rPr>
        <w:t xml:space="preserve">zaposljivosti, pri čemer se </w:t>
      </w:r>
      <w:r w:rsidR="00B26442" w:rsidRPr="008D5676">
        <w:rPr>
          <w:rFonts w:eastAsia="PalladioLOT-Roman" w:cs="PalladioLOT-Roman"/>
          <w:color w:val="auto"/>
          <w:sz w:val="24"/>
          <w:szCs w:val="24"/>
        </w:rPr>
        <w:t>večanje</w:t>
      </w:r>
      <w:r w:rsidR="00FD5408" w:rsidRPr="008D5676">
        <w:rPr>
          <w:rFonts w:eastAsia="PalladioLOT-Roman" w:cs="PalladioLOT-Roman"/>
          <w:color w:val="auto"/>
          <w:sz w:val="24"/>
          <w:szCs w:val="24"/>
        </w:rPr>
        <w:t xml:space="preserve"> in fleksibil</w:t>
      </w:r>
      <w:r w:rsidR="000E77F3" w:rsidRPr="008D5676">
        <w:rPr>
          <w:rFonts w:eastAsia="PalladioLOT-Roman" w:cs="PalladioLOT-Roman"/>
          <w:color w:val="auto"/>
          <w:sz w:val="24"/>
          <w:szCs w:val="24"/>
        </w:rPr>
        <w:t xml:space="preserve">izacija </w:t>
      </w:r>
      <w:r w:rsidR="000E1308" w:rsidRPr="008D5676">
        <w:rPr>
          <w:rFonts w:eastAsia="PalladioLOT-Roman" w:cs="PalladioLOT-Roman"/>
          <w:color w:val="auto"/>
          <w:sz w:val="24"/>
          <w:szCs w:val="24"/>
        </w:rPr>
        <w:t xml:space="preserve">zaposlovanja </w:t>
      </w:r>
      <w:r w:rsidR="000E77F3" w:rsidRPr="008D5676">
        <w:rPr>
          <w:rFonts w:eastAsia="PalladioLOT-Roman" w:cs="PalladioLOT-Roman"/>
          <w:color w:val="auto"/>
          <w:sz w:val="24"/>
          <w:szCs w:val="24"/>
        </w:rPr>
        <w:t xml:space="preserve">nanašata zlasti na </w:t>
      </w:r>
      <w:r w:rsidR="00FD5408" w:rsidRPr="008D5676">
        <w:rPr>
          <w:rFonts w:eastAsia="PalladioLOT-Roman" w:cs="PalladioLOT-Roman"/>
          <w:color w:val="auto"/>
          <w:sz w:val="24"/>
          <w:szCs w:val="24"/>
        </w:rPr>
        <w:t xml:space="preserve">starejše </w:t>
      </w:r>
      <w:r w:rsidR="00B26442" w:rsidRPr="008D5676">
        <w:rPr>
          <w:rFonts w:eastAsia="PalladioLOT-Roman" w:cs="PalladioLOT-Roman"/>
          <w:color w:val="auto"/>
          <w:sz w:val="24"/>
          <w:szCs w:val="24"/>
        </w:rPr>
        <w:t>odrasle</w:t>
      </w:r>
      <w:r w:rsidR="000E77F3" w:rsidRPr="008D5676">
        <w:rPr>
          <w:rFonts w:eastAsia="PalladioLOT-Roman" w:cs="PalladioLOT-Roman"/>
          <w:color w:val="auto"/>
          <w:sz w:val="24"/>
          <w:szCs w:val="24"/>
        </w:rPr>
        <w:t xml:space="preserve"> </w:t>
      </w:r>
      <w:r w:rsidR="00FD5408" w:rsidRPr="008D5676">
        <w:rPr>
          <w:rFonts w:eastAsia="PalladioLOT-Roman" w:cs="PalladioLOT-Roman"/>
          <w:color w:val="auto"/>
          <w:sz w:val="24"/>
          <w:szCs w:val="24"/>
        </w:rPr>
        <w:t>in</w:t>
      </w:r>
      <w:r w:rsidR="000E77F3" w:rsidRPr="008D5676">
        <w:rPr>
          <w:rFonts w:eastAsia="PalladioLOT-Roman" w:cs="PalladioLOT-Roman"/>
          <w:color w:val="auto"/>
          <w:sz w:val="24"/>
          <w:szCs w:val="24"/>
        </w:rPr>
        <w:t xml:space="preserve"> na</w:t>
      </w:r>
      <w:r w:rsidR="00FD5408" w:rsidRPr="008D5676">
        <w:rPr>
          <w:rFonts w:eastAsia="PalladioLOT-Roman" w:cs="PalladioLOT-Roman"/>
          <w:color w:val="auto"/>
          <w:sz w:val="24"/>
          <w:szCs w:val="24"/>
        </w:rPr>
        <w:t xml:space="preserve"> mlade, </w:t>
      </w:r>
      <w:r w:rsidR="000E77F3" w:rsidRPr="008D5676">
        <w:rPr>
          <w:rFonts w:eastAsia="PalladioLOT-Roman" w:cs="PalladioLOT-Roman"/>
          <w:color w:val="auto"/>
          <w:sz w:val="24"/>
          <w:szCs w:val="24"/>
        </w:rPr>
        <w:t xml:space="preserve">pri čemer </w:t>
      </w:r>
      <w:r w:rsidR="000E1308" w:rsidRPr="008D5676">
        <w:rPr>
          <w:rFonts w:eastAsia="PalladioLOT-Roman" w:cs="PalladioLOT-Roman"/>
          <w:color w:val="auto"/>
          <w:sz w:val="24"/>
          <w:szCs w:val="24"/>
        </w:rPr>
        <w:t>posebne potrebe in položaji</w:t>
      </w:r>
      <w:r w:rsidR="00FD5408" w:rsidRPr="008D5676">
        <w:rPr>
          <w:rFonts w:eastAsia="PalladioLOT-Roman" w:cs="PalladioLOT-Roman"/>
          <w:color w:val="auto"/>
          <w:sz w:val="24"/>
          <w:szCs w:val="24"/>
        </w:rPr>
        <w:t xml:space="preserve"> teh skupin</w:t>
      </w:r>
      <w:r w:rsidR="000E1308" w:rsidRPr="008D5676">
        <w:rPr>
          <w:rFonts w:eastAsia="PalladioLOT-Roman" w:cs="PalladioLOT-Roman"/>
          <w:color w:val="auto"/>
          <w:sz w:val="24"/>
          <w:szCs w:val="24"/>
        </w:rPr>
        <w:t xml:space="preserve"> niso upoštevani</w:t>
      </w:r>
      <w:r w:rsidR="00FD5408" w:rsidRPr="008D5676">
        <w:rPr>
          <w:rFonts w:eastAsia="PalladioLOT-Roman" w:cs="PalladioLOT-Roman"/>
          <w:color w:val="auto"/>
          <w:sz w:val="24"/>
          <w:szCs w:val="24"/>
        </w:rPr>
        <w:t xml:space="preserve">. </w:t>
      </w:r>
      <w:r w:rsidR="002844F5" w:rsidRPr="008D5676">
        <w:rPr>
          <w:rFonts w:eastAsia="PalladioLOT-Roman" w:cs="PalladioLOT-Roman"/>
          <w:color w:val="auto"/>
          <w:sz w:val="24"/>
          <w:szCs w:val="24"/>
        </w:rPr>
        <w:t>Zato je</w:t>
      </w:r>
      <w:r w:rsidR="00173679" w:rsidRPr="008D5676">
        <w:rPr>
          <w:rFonts w:eastAsia="PalladioLOT-Roman" w:cs="PalladioLOT-Roman"/>
          <w:color w:val="auto"/>
          <w:sz w:val="24"/>
          <w:szCs w:val="24"/>
        </w:rPr>
        <w:t xml:space="preserve"> kljub </w:t>
      </w:r>
      <w:r w:rsidR="00CF1AB1" w:rsidRPr="00A22320">
        <w:rPr>
          <w:rFonts w:eastAsia="PalladioLOT-Roman" w:cs="PalladioLOT-Roman"/>
          <w:color w:val="auto"/>
          <w:sz w:val="24"/>
          <w:szCs w:val="24"/>
        </w:rPr>
        <w:t>omen</w:t>
      </w:r>
      <w:r w:rsidR="00173679" w:rsidRPr="008D5676">
        <w:rPr>
          <w:rFonts w:eastAsia="PalladioLOT-Roman" w:cs="PalladioLOT-Roman"/>
          <w:color w:val="auto"/>
          <w:sz w:val="24"/>
          <w:szCs w:val="24"/>
        </w:rPr>
        <w:t xml:space="preserve">janju </w:t>
      </w:r>
      <w:r w:rsidR="00FD5408" w:rsidRPr="008D5676">
        <w:rPr>
          <w:rFonts w:eastAsia="PalladioLOT-Roman" w:cs="PalladioLOT-Roman"/>
          <w:color w:val="auto"/>
          <w:sz w:val="24"/>
          <w:szCs w:val="24"/>
        </w:rPr>
        <w:t>dejavn</w:t>
      </w:r>
      <w:r w:rsidR="00173679" w:rsidRPr="008D5676">
        <w:rPr>
          <w:rFonts w:eastAsia="PalladioLOT-Roman" w:cs="PalladioLOT-Roman"/>
          <w:color w:val="auto"/>
          <w:sz w:val="24"/>
          <w:szCs w:val="24"/>
        </w:rPr>
        <w:t>e</w:t>
      </w:r>
      <w:r w:rsidR="00FD5408" w:rsidRPr="008D5676">
        <w:rPr>
          <w:rFonts w:eastAsia="PalladioLOT-Roman" w:cs="PalladioLOT-Roman"/>
          <w:color w:val="auto"/>
          <w:sz w:val="24"/>
          <w:szCs w:val="24"/>
        </w:rPr>
        <w:t xml:space="preserve"> udeležb</w:t>
      </w:r>
      <w:r w:rsidR="00173679" w:rsidRPr="008D5676">
        <w:rPr>
          <w:rFonts w:eastAsia="PalladioLOT-Roman" w:cs="PalladioLOT-Roman"/>
          <w:color w:val="auto"/>
          <w:sz w:val="24"/>
          <w:szCs w:val="24"/>
        </w:rPr>
        <w:t>e</w:t>
      </w:r>
      <w:r w:rsidR="00FD5408" w:rsidRPr="008D5676">
        <w:rPr>
          <w:rFonts w:eastAsia="PalladioLOT-Roman" w:cs="PalladioLOT-Roman"/>
          <w:color w:val="auto"/>
          <w:sz w:val="24"/>
          <w:szCs w:val="24"/>
        </w:rPr>
        <w:t xml:space="preserve"> vseh generacij v gospodarskem in družbenem življenju ter </w:t>
      </w:r>
      <w:r w:rsidR="000E77F3" w:rsidRPr="008D5676">
        <w:rPr>
          <w:rFonts w:eastAsia="PalladioLOT-Roman" w:cs="PalladioLOT-Roman"/>
          <w:color w:val="auto"/>
          <w:sz w:val="24"/>
          <w:szCs w:val="24"/>
        </w:rPr>
        <w:t xml:space="preserve">v </w:t>
      </w:r>
      <w:r w:rsidR="00FD5408" w:rsidRPr="008D5676">
        <w:rPr>
          <w:rFonts w:eastAsia="PalladioLOT-Roman" w:cs="PalladioLOT-Roman"/>
          <w:color w:val="auto"/>
          <w:sz w:val="24"/>
          <w:szCs w:val="24"/>
        </w:rPr>
        <w:t>po</w:t>
      </w:r>
      <w:r w:rsidR="00173679" w:rsidRPr="008D5676">
        <w:rPr>
          <w:rFonts w:eastAsia="PalladioLOT-Roman" w:cs="PalladioLOT-Roman"/>
          <w:color w:val="auto"/>
          <w:sz w:val="24"/>
          <w:szCs w:val="24"/>
        </w:rPr>
        <w:t xml:space="preserve">litičnih procesih odločanja </w:t>
      </w:r>
      <w:r w:rsidR="00FD5408" w:rsidRPr="008D5676">
        <w:rPr>
          <w:rFonts w:eastAsia="PalladioLOT-Roman" w:cs="PalladioLOT-Roman"/>
          <w:color w:val="auto"/>
          <w:sz w:val="24"/>
          <w:szCs w:val="24"/>
        </w:rPr>
        <w:t>ta strategija manj prilagojena</w:t>
      </w:r>
      <w:r w:rsidR="00173679" w:rsidRPr="008D5676">
        <w:rPr>
          <w:rFonts w:eastAsia="PalladioLOT-Roman" w:cs="PalladioLOT-Roman"/>
          <w:color w:val="auto"/>
          <w:sz w:val="24"/>
          <w:szCs w:val="24"/>
        </w:rPr>
        <w:t xml:space="preserve"> starejšim odrasli</w:t>
      </w:r>
      <w:r w:rsidR="00B26442" w:rsidRPr="008D5676">
        <w:rPr>
          <w:rFonts w:eastAsia="PalladioLOT-Roman" w:cs="PalladioLOT-Roman"/>
          <w:color w:val="auto"/>
          <w:sz w:val="24"/>
          <w:szCs w:val="24"/>
        </w:rPr>
        <w:t>m</w:t>
      </w:r>
      <w:r w:rsidR="00173679" w:rsidRPr="008D5676">
        <w:rPr>
          <w:rFonts w:eastAsia="PalladioLOT-Roman" w:cs="PalladioLOT-Roman"/>
          <w:color w:val="auto"/>
          <w:sz w:val="24"/>
          <w:szCs w:val="24"/>
        </w:rPr>
        <w:t>, njihovim</w:t>
      </w:r>
      <w:r w:rsidR="00FD5408" w:rsidRPr="008D5676">
        <w:rPr>
          <w:rFonts w:eastAsia="PalladioLOT-Roman" w:cs="PalladioLOT-Roman"/>
          <w:color w:val="auto"/>
          <w:sz w:val="24"/>
          <w:szCs w:val="24"/>
        </w:rPr>
        <w:t xml:space="preserve"> družbenim, kulturnim in drugim demokratičnim potrebam in zmožnostim.</w:t>
      </w:r>
    </w:p>
    <w:p w:rsidR="00FD5408" w:rsidRPr="008D5676" w:rsidRDefault="002844F5" w:rsidP="00FC3994">
      <w:pPr>
        <w:autoSpaceDE w:val="0"/>
        <w:autoSpaceDN w:val="0"/>
        <w:adjustRightInd w:val="0"/>
        <w:spacing w:after="120" w:line="276" w:lineRule="auto"/>
        <w:jc w:val="both"/>
        <w:rPr>
          <w:rFonts w:eastAsia="PalladioLOT-Roman" w:cs="PalladioLOT-Roman"/>
          <w:color w:val="auto"/>
          <w:sz w:val="24"/>
          <w:szCs w:val="24"/>
        </w:rPr>
      </w:pPr>
      <w:r w:rsidRPr="008D5676">
        <w:rPr>
          <w:rFonts w:eastAsia="PalladioLOT-Roman" w:cs="PalladioLOT-Roman"/>
          <w:color w:val="auto"/>
          <w:sz w:val="24"/>
          <w:szCs w:val="24"/>
        </w:rPr>
        <w:t>Kot vidimo, je i</w:t>
      </w:r>
      <w:r w:rsidR="00FD5408" w:rsidRPr="008D5676">
        <w:rPr>
          <w:rFonts w:eastAsia="PalladioLOT-Roman" w:cs="PalladioLOT-Roman"/>
          <w:color w:val="auto"/>
          <w:sz w:val="24"/>
          <w:szCs w:val="24"/>
        </w:rPr>
        <w:t>zobraževanje odraslih kot temeljn</w:t>
      </w:r>
      <w:r w:rsidR="00312142" w:rsidRPr="008D5676">
        <w:rPr>
          <w:rFonts w:eastAsia="PalladioLOT-Roman" w:cs="PalladioLOT-Roman"/>
          <w:color w:val="auto"/>
          <w:sz w:val="24"/>
          <w:szCs w:val="24"/>
        </w:rPr>
        <w:t>i</w:t>
      </w:r>
      <w:r w:rsidR="00FD5408" w:rsidRPr="008D5676">
        <w:rPr>
          <w:rFonts w:eastAsia="PalladioLOT-Roman" w:cs="PalladioLOT-Roman"/>
          <w:color w:val="auto"/>
          <w:sz w:val="24"/>
          <w:szCs w:val="24"/>
        </w:rPr>
        <w:t xml:space="preserve"> del vseživljenjskega učenja </w:t>
      </w:r>
      <w:r w:rsidR="00312142" w:rsidRPr="008D5676">
        <w:rPr>
          <w:rFonts w:eastAsia="PalladioLOT-Roman" w:cs="PalladioLOT-Roman"/>
          <w:color w:val="auto"/>
          <w:sz w:val="24"/>
          <w:szCs w:val="24"/>
        </w:rPr>
        <w:t>(skupaj z dolgoživo družbo in aktivnim staranjem)</w:t>
      </w:r>
      <w:r w:rsidR="007B124F" w:rsidRPr="008D5676">
        <w:rPr>
          <w:rFonts w:eastAsia="PalladioLOT-Roman" w:cs="PalladioLOT-Roman"/>
          <w:color w:val="auto"/>
          <w:sz w:val="24"/>
          <w:szCs w:val="24"/>
        </w:rPr>
        <w:t xml:space="preserve"> </w:t>
      </w:r>
      <w:r w:rsidR="00FD5408" w:rsidRPr="008D5676">
        <w:rPr>
          <w:rFonts w:eastAsia="PalladioLOT-Roman" w:cs="PalladioLOT-Roman"/>
          <w:color w:val="auto"/>
          <w:sz w:val="24"/>
          <w:szCs w:val="24"/>
        </w:rPr>
        <w:t xml:space="preserve">uvrščeno med prednostne naloge slovenskih razvojnih strategij, kot tudi </w:t>
      </w:r>
      <w:r w:rsidR="00312142" w:rsidRPr="008D5676">
        <w:rPr>
          <w:rFonts w:eastAsia="PalladioLOT-Roman" w:cs="PalladioLOT-Roman"/>
          <w:color w:val="auto"/>
          <w:sz w:val="24"/>
          <w:szCs w:val="24"/>
        </w:rPr>
        <w:t>Resolucija</w:t>
      </w:r>
      <w:r w:rsidR="00FD5408" w:rsidRPr="008D5676">
        <w:rPr>
          <w:rFonts w:eastAsia="PalladioLOT-Roman" w:cs="PalladioLOT-Roman"/>
          <w:color w:val="auto"/>
          <w:sz w:val="24"/>
          <w:szCs w:val="24"/>
        </w:rPr>
        <w:t xml:space="preserve"> o nacionalnem p</w:t>
      </w:r>
      <w:r w:rsidR="00312142" w:rsidRPr="008D5676">
        <w:rPr>
          <w:rFonts w:eastAsia="PalladioLOT-Roman" w:cs="PalladioLOT-Roman"/>
          <w:color w:val="auto"/>
          <w:sz w:val="24"/>
          <w:szCs w:val="24"/>
        </w:rPr>
        <w:t xml:space="preserve">rogramu izobraževanja odraslih – </w:t>
      </w:r>
      <w:r w:rsidR="00FD5408" w:rsidRPr="008D5676">
        <w:rPr>
          <w:rFonts w:eastAsia="PalladioLOT-Roman" w:cs="PalladioLOT-Roman"/>
          <w:color w:val="auto"/>
          <w:sz w:val="24"/>
          <w:szCs w:val="24"/>
        </w:rPr>
        <w:t>ReNPIO, 2013</w:t>
      </w:r>
      <w:r w:rsidR="00CF1AB1" w:rsidRPr="00A22320">
        <w:rPr>
          <w:rFonts w:eastAsia="PalladioLOT-Roman" w:cs="PalladioLOT-Roman"/>
          <w:color w:val="auto"/>
          <w:sz w:val="24"/>
          <w:szCs w:val="24"/>
        </w:rPr>
        <w:t>‒</w:t>
      </w:r>
      <w:r w:rsidR="00FD5408" w:rsidRPr="008D5676">
        <w:rPr>
          <w:rFonts w:eastAsia="PalladioLOT-Roman" w:cs="PalladioLOT-Roman"/>
          <w:color w:val="auto"/>
          <w:sz w:val="24"/>
          <w:szCs w:val="24"/>
        </w:rPr>
        <w:t>2020</w:t>
      </w:r>
      <w:r w:rsidR="00312142" w:rsidRPr="008D5676">
        <w:rPr>
          <w:rFonts w:eastAsia="PalladioLOT-Roman" w:cs="PalladioLOT-Roman"/>
          <w:color w:val="auto"/>
          <w:sz w:val="24"/>
          <w:szCs w:val="24"/>
        </w:rPr>
        <w:t xml:space="preserve"> </w:t>
      </w:r>
      <w:r w:rsidR="00DD2AEB" w:rsidRPr="008D5676">
        <w:rPr>
          <w:rFonts w:eastAsia="PalladioLOT-Roman" w:cs="PalladioLOT-Roman"/>
          <w:color w:val="auto"/>
          <w:sz w:val="24"/>
          <w:szCs w:val="24"/>
        </w:rPr>
        <w:t>(</w:t>
      </w:r>
      <w:r w:rsidR="00312142" w:rsidRPr="008D5676">
        <w:rPr>
          <w:rFonts w:eastAsia="PalladioLOT-Roman" w:cs="PalladioLOT-Roman"/>
          <w:color w:val="auto"/>
          <w:sz w:val="24"/>
          <w:szCs w:val="24"/>
        </w:rPr>
        <w:t>Renpio, 2014</w:t>
      </w:r>
      <w:r w:rsidR="00FD5408" w:rsidRPr="008D5676">
        <w:rPr>
          <w:rFonts w:eastAsia="PalladioLOT-Roman" w:cs="PalladioLOT-Roman"/>
          <w:color w:val="auto"/>
          <w:sz w:val="24"/>
          <w:szCs w:val="24"/>
        </w:rPr>
        <w:t xml:space="preserve">), ki </w:t>
      </w:r>
      <w:r w:rsidR="00CF1AB1" w:rsidRPr="00A22320">
        <w:rPr>
          <w:rFonts w:eastAsia="PalladioLOT-Roman" w:cs="PalladioLOT-Roman"/>
          <w:color w:val="auto"/>
          <w:sz w:val="24"/>
          <w:szCs w:val="24"/>
        </w:rPr>
        <w:t>upošteva</w:t>
      </w:r>
      <w:r w:rsidR="00FD5408" w:rsidRPr="008D5676">
        <w:rPr>
          <w:rFonts w:eastAsia="PalladioLOT-Roman" w:cs="PalladioLOT-Roman"/>
          <w:color w:val="auto"/>
          <w:sz w:val="24"/>
          <w:szCs w:val="24"/>
        </w:rPr>
        <w:t xml:space="preserve"> Evropsko politiko in priporočila. Čeprav </w:t>
      </w:r>
      <w:r w:rsidR="00FE468D" w:rsidRPr="008D5676">
        <w:rPr>
          <w:rFonts w:eastAsia="PalladioLOT-Roman" w:cs="PalladioLOT-Roman"/>
          <w:color w:val="auto"/>
          <w:sz w:val="24"/>
          <w:szCs w:val="24"/>
        </w:rPr>
        <w:t xml:space="preserve">so vsi ti dokumenti </w:t>
      </w:r>
      <w:r w:rsidR="0025331B" w:rsidRPr="008D5676">
        <w:rPr>
          <w:rFonts w:eastAsia="PalladioLOT-Roman" w:cs="PalladioLOT-Roman"/>
          <w:color w:val="auto"/>
          <w:sz w:val="24"/>
          <w:szCs w:val="24"/>
        </w:rPr>
        <w:t>ustrezno</w:t>
      </w:r>
      <w:r w:rsidR="00FE468D" w:rsidRPr="008D5676">
        <w:rPr>
          <w:rFonts w:eastAsia="PalladioLOT-Roman" w:cs="PalladioLOT-Roman"/>
          <w:color w:val="auto"/>
          <w:sz w:val="24"/>
          <w:szCs w:val="24"/>
        </w:rPr>
        <w:t xml:space="preserve"> zasnovani</w:t>
      </w:r>
      <w:r w:rsidR="00FD5408" w:rsidRPr="008D5676">
        <w:rPr>
          <w:rFonts w:eastAsia="PalladioLOT-Roman" w:cs="PalladioLOT-Roman"/>
          <w:color w:val="auto"/>
          <w:sz w:val="24"/>
          <w:szCs w:val="24"/>
        </w:rPr>
        <w:t xml:space="preserve"> in </w:t>
      </w:r>
      <w:r w:rsidR="00141FFC" w:rsidRPr="008D5676">
        <w:rPr>
          <w:rFonts w:eastAsia="PalladioLOT-Roman" w:cs="PalladioLOT-Roman"/>
          <w:color w:val="auto"/>
          <w:sz w:val="24"/>
          <w:szCs w:val="24"/>
        </w:rPr>
        <w:t xml:space="preserve">si </w:t>
      </w:r>
      <w:r w:rsidR="00F44969" w:rsidRPr="008D5676">
        <w:rPr>
          <w:rFonts w:eastAsia="PalladioLOT-Roman" w:cs="PalladioLOT-Roman"/>
          <w:color w:val="auto"/>
          <w:sz w:val="24"/>
          <w:szCs w:val="24"/>
        </w:rPr>
        <w:t xml:space="preserve">očitno </w:t>
      </w:r>
      <w:r w:rsidR="00141FFC" w:rsidRPr="008D5676">
        <w:rPr>
          <w:rFonts w:eastAsia="PalladioLOT-Roman" w:cs="PalladioLOT-Roman"/>
          <w:color w:val="auto"/>
          <w:sz w:val="24"/>
          <w:szCs w:val="24"/>
        </w:rPr>
        <w:t>prizadeva</w:t>
      </w:r>
      <w:r w:rsidR="0092476D" w:rsidRPr="008D5676">
        <w:rPr>
          <w:rFonts w:eastAsia="PalladioLOT-Roman" w:cs="PalladioLOT-Roman"/>
          <w:color w:val="auto"/>
          <w:sz w:val="24"/>
          <w:szCs w:val="24"/>
        </w:rPr>
        <w:t>jo</w:t>
      </w:r>
      <w:r w:rsidR="00141FFC" w:rsidRPr="008D5676">
        <w:rPr>
          <w:rFonts w:eastAsia="PalladioLOT-Roman" w:cs="PalladioLOT-Roman"/>
          <w:color w:val="auto"/>
          <w:sz w:val="24"/>
          <w:szCs w:val="24"/>
        </w:rPr>
        <w:t xml:space="preserve"> spodbujati vključenost, enakost</w:t>
      </w:r>
      <w:r w:rsidR="00FD5408" w:rsidRPr="008D5676">
        <w:rPr>
          <w:rFonts w:eastAsia="PalladioLOT-Roman" w:cs="PalladioLOT-Roman"/>
          <w:color w:val="auto"/>
          <w:sz w:val="24"/>
          <w:szCs w:val="24"/>
        </w:rPr>
        <w:t xml:space="preserve">, </w:t>
      </w:r>
      <w:r w:rsidR="00141FFC" w:rsidRPr="008D5676">
        <w:rPr>
          <w:rFonts w:eastAsia="PalladioLOT-Roman" w:cs="PalladioLOT-Roman"/>
          <w:color w:val="auto"/>
          <w:sz w:val="24"/>
          <w:szCs w:val="24"/>
        </w:rPr>
        <w:t xml:space="preserve">participacijo, </w:t>
      </w:r>
      <w:r w:rsidR="00FE468D" w:rsidRPr="008D5676">
        <w:rPr>
          <w:rFonts w:eastAsia="PalladioLOT-Roman" w:cs="PalladioLOT-Roman"/>
          <w:color w:val="auto"/>
          <w:sz w:val="24"/>
          <w:szCs w:val="24"/>
        </w:rPr>
        <w:t>ustvarjalnost</w:t>
      </w:r>
      <w:r w:rsidR="00FD5408" w:rsidRPr="008D5676">
        <w:rPr>
          <w:rFonts w:eastAsia="PalladioLOT-Roman" w:cs="PalladioLOT-Roman"/>
          <w:color w:val="auto"/>
          <w:sz w:val="24"/>
          <w:szCs w:val="24"/>
        </w:rPr>
        <w:t>, zdravj</w:t>
      </w:r>
      <w:r w:rsidR="00FE468D" w:rsidRPr="008D5676">
        <w:rPr>
          <w:rFonts w:eastAsia="PalladioLOT-Roman" w:cs="PalladioLOT-Roman"/>
          <w:color w:val="auto"/>
          <w:sz w:val="24"/>
          <w:szCs w:val="24"/>
        </w:rPr>
        <w:t>e, finančno varnost</w:t>
      </w:r>
      <w:r w:rsidR="00FD5408" w:rsidRPr="008D5676">
        <w:rPr>
          <w:rFonts w:eastAsia="PalladioLOT-Roman" w:cs="PalladioLOT-Roman"/>
          <w:color w:val="auto"/>
          <w:sz w:val="24"/>
          <w:szCs w:val="24"/>
        </w:rPr>
        <w:t xml:space="preserve"> it</w:t>
      </w:r>
      <w:r w:rsidR="00FE468D" w:rsidRPr="008D5676">
        <w:rPr>
          <w:rFonts w:eastAsia="PalladioLOT-Roman" w:cs="PalladioLOT-Roman"/>
          <w:color w:val="auto"/>
          <w:sz w:val="24"/>
          <w:szCs w:val="24"/>
        </w:rPr>
        <w:t>n.</w:t>
      </w:r>
      <w:r w:rsidR="00FD5408" w:rsidRPr="008D5676">
        <w:rPr>
          <w:rFonts w:eastAsia="PalladioLOT-Roman" w:cs="PalladioLOT-Roman"/>
          <w:color w:val="auto"/>
          <w:sz w:val="24"/>
          <w:szCs w:val="24"/>
        </w:rPr>
        <w:t xml:space="preserve"> v celotnem ži</w:t>
      </w:r>
      <w:r w:rsidR="0092476D" w:rsidRPr="008D5676">
        <w:rPr>
          <w:rFonts w:eastAsia="PalladioLOT-Roman" w:cs="PalladioLOT-Roman"/>
          <w:color w:val="auto"/>
          <w:sz w:val="24"/>
          <w:szCs w:val="24"/>
        </w:rPr>
        <w:t xml:space="preserve">vljenjskem poteku posameznika, </w:t>
      </w:r>
      <w:r w:rsidR="00DD2AEB" w:rsidRPr="008D5676">
        <w:rPr>
          <w:rFonts w:eastAsia="PalladioLOT-Roman" w:cs="PalladioLOT-Roman"/>
          <w:color w:val="auto"/>
          <w:sz w:val="24"/>
          <w:szCs w:val="24"/>
        </w:rPr>
        <w:t>pa hkrati kažejo</w:t>
      </w:r>
      <w:r w:rsidR="00FD5408" w:rsidRPr="008D5676">
        <w:rPr>
          <w:rFonts w:eastAsia="PalladioLOT-Roman" w:cs="PalladioLOT-Roman"/>
          <w:color w:val="auto"/>
          <w:sz w:val="24"/>
          <w:szCs w:val="24"/>
        </w:rPr>
        <w:t xml:space="preserve"> znatno neskladje med dejanskim stanjem kakovosti življenja starejših</w:t>
      </w:r>
      <w:r w:rsidRPr="008D5676">
        <w:rPr>
          <w:rFonts w:eastAsia="PalladioLOT-Roman" w:cs="PalladioLOT-Roman"/>
          <w:color w:val="auto"/>
          <w:sz w:val="24"/>
          <w:szCs w:val="24"/>
        </w:rPr>
        <w:t xml:space="preserve"> odraslih</w:t>
      </w:r>
      <w:r w:rsidR="00FD5408" w:rsidRPr="008D5676">
        <w:rPr>
          <w:rFonts w:eastAsia="PalladioLOT-Roman" w:cs="PalladioLOT-Roman"/>
          <w:color w:val="auto"/>
          <w:sz w:val="24"/>
          <w:szCs w:val="24"/>
        </w:rPr>
        <w:t xml:space="preserve"> in pričakovanimi ter dosegljivimi razvojnimi cilji, ko le</w:t>
      </w:r>
      <w:r w:rsidR="00CF1AB1" w:rsidRPr="00A22320">
        <w:rPr>
          <w:rFonts w:eastAsia="PalladioLOT-Roman" w:cs="PalladioLOT-Roman"/>
          <w:color w:val="auto"/>
          <w:sz w:val="24"/>
          <w:szCs w:val="24"/>
        </w:rPr>
        <w:t>-</w:t>
      </w:r>
      <w:r w:rsidR="00FD5408" w:rsidRPr="008D5676">
        <w:rPr>
          <w:rFonts w:eastAsia="PalladioLOT-Roman" w:cs="PalladioLOT-Roman"/>
          <w:color w:val="auto"/>
          <w:sz w:val="24"/>
          <w:szCs w:val="24"/>
        </w:rPr>
        <w:t>te primerjamo s konkretnimi statističnimi podatki ter ugotovitvami analiz in raziskav.</w:t>
      </w:r>
      <w:r w:rsidR="00665EA8" w:rsidRPr="008D5676">
        <w:rPr>
          <w:rFonts w:eastAsia="PalladioLOT-Roman" w:cs="PalladioLOT-Roman"/>
          <w:color w:val="auto"/>
          <w:sz w:val="24"/>
          <w:szCs w:val="24"/>
        </w:rPr>
        <w:t xml:space="preserve"> </w:t>
      </w:r>
      <w:r w:rsidR="00FD5408" w:rsidRPr="008D5676">
        <w:rPr>
          <w:rFonts w:eastAsia="PalladioLOT-Roman" w:cs="PalladioLOT-Roman"/>
          <w:color w:val="auto"/>
          <w:sz w:val="24"/>
          <w:szCs w:val="24"/>
        </w:rPr>
        <w:t>To je razvidno</w:t>
      </w:r>
      <w:r w:rsidRPr="008D5676">
        <w:rPr>
          <w:rFonts w:eastAsia="PalladioLOT-Roman" w:cs="PalladioLOT-Roman"/>
          <w:color w:val="auto"/>
          <w:sz w:val="24"/>
          <w:szCs w:val="24"/>
        </w:rPr>
        <w:t xml:space="preserve"> tudi</w:t>
      </w:r>
      <w:r w:rsidR="00DD2AEB" w:rsidRPr="008D5676">
        <w:rPr>
          <w:rFonts w:eastAsia="PalladioLOT-Roman" w:cs="PalladioLOT-Roman"/>
          <w:color w:val="auto"/>
          <w:sz w:val="24"/>
          <w:szCs w:val="24"/>
        </w:rPr>
        <w:t xml:space="preserve"> iz neuspešnega izvajanja S</w:t>
      </w:r>
      <w:r w:rsidR="00FD5408" w:rsidRPr="008D5676">
        <w:rPr>
          <w:rFonts w:eastAsia="PalladioLOT-Roman" w:cs="PalladioLOT-Roman"/>
          <w:color w:val="auto"/>
          <w:sz w:val="24"/>
          <w:szCs w:val="24"/>
        </w:rPr>
        <w:t xml:space="preserve">trategije vseživljenjskosti učenja iz leta 2007, ki je med drugim opredelila glavna področja in vsebine za spremembe, vendar ostaja neizpolnjena (glej Jelenc, 2007). </w:t>
      </w:r>
      <w:r w:rsidR="00CF1AB1" w:rsidRPr="00A22320">
        <w:rPr>
          <w:rFonts w:eastAsia="PalladioLOT-Roman" w:cs="PalladioLOT-Roman"/>
          <w:color w:val="auto"/>
          <w:sz w:val="24"/>
          <w:szCs w:val="24"/>
        </w:rPr>
        <w:t>In naprej</w:t>
      </w:r>
      <w:r w:rsidRPr="008D5676">
        <w:rPr>
          <w:rFonts w:eastAsia="PalladioLOT-Roman" w:cs="PalladioLOT-Roman"/>
          <w:color w:val="auto"/>
          <w:sz w:val="24"/>
          <w:szCs w:val="24"/>
        </w:rPr>
        <w:t xml:space="preserve">, v </w:t>
      </w:r>
      <w:r w:rsidR="00FD5408" w:rsidRPr="008D5676">
        <w:rPr>
          <w:rFonts w:eastAsia="PalladioLOT-Roman" w:cs="PalladioLOT-Roman"/>
          <w:color w:val="auto"/>
          <w:sz w:val="24"/>
          <w:szCs w:val="24"/>
        </w:rPr>
        <w:t xml:space="preserve">Sloveniji stopnja udeležbe v programih vseživljenjskega učenja glede na starost pada hitreje kot v povprečju v </w:t>
      </w:r>
      <w:r w:rsidRPr="008D5676">
        <w:rPr>
          <w:rFonts w:eastAsia="PalladioLOT-Roman" w:cs="PalladioLOT-Roman"/>
          <w:color w:val="auto"/>
          <w:sz w:val="24"/>
          <w:szCs w:val="24"/>
        </w:rPr>
        <w:t xml:space="preserve">državah </w:t>
      </w:r>
      <w:r w:rsidR="00FD5408" w:rsidRPr="008D5676">
        <w:rPr>
          <w:rFonts w:eastAsia="PalladioLOT-Roman" w:cs="PalladioLOT-Roman"/>
          <w:color w:val="auto"/>
          <w:sz w:val="24"/>
          <w:szCs w:val="24"/>
        </w:rPr>
        <w:t>EU  (UMAR, 2018). Raz</w:t>
      </w:r>
      <w:r w:rsidR="00CF1AB1" w:rsidRPr="00A22320">
        <w:rPr>
          <w:rFonts w:eastAsia="PalladioLOT-Roman" w:cs="PalladioLOT-Roman"/>
          <w:color w:val="auto"/>
          <w:sz w:val="24"/>
          <w:szCs w:val="24"/>
        </w:rPr>
        <w:t>liko</w:t>
      </w:r>
      <w:r w:rsidR="00FD5408" w:rsidRPr="008D5676">
        <w:rPr>
          <w:rFonts w:eastAsia="PalladioLOT-Roman" w:cs="PalladioLOT-Roman"/>
          <w:color w:val="auto"/>
          <w:sz w:val="24"/>
          <w:szCs w:val="24"/>
        </w:rPr>
        <w:t xml:space="preserve"> med vizijami in operativnimi cilji je mogoče zaznati tudi v zmanjševanju ud</w:t>
      </w:r>
      <w:r w:rsidR="00F44969" w:rsidRPr="008D5676">
        <w:rPr>
          <w:rFonts w:eastAsia="PalladioLOT-Roman" w:cs="PalladioLOT-Roman"/>
          <w:color w:val="auto"/>
          <w:sz w:val="24"/>
          <w:szCs w:val="24"/>
        </w:rPr>
        <w:t xml:space="preserve">eležbe odraslih v izobraževanju </w:t>
      </w:r>
      <w:r w:rsidR="00FD5408" w:rsidRPr="008D5676">
        <w:rPr>
          <w:rFonts w:eastAsia="PalladioLOT-Roman" w:cs="PalladioLOT-Roman"/>
          <w:color w:val="auto"/>
          <w:sz w:val="24"/>
          <w:szCs w:val="24"/>
        </w:rPr>
        <w:t xml:space="preserve">(delež se je zmanjšal </w:t>
      </w:r>
      <w:r w:rsidR="00CF1AB1" w:rsidRPr="00A22320">
        <w:rPr>
          <w:rFonts w:eastAsia="PalladioLOT-Roman" w:cs="PalladioLOT-Roman"/>
          <w:color w:val="auto"/>
          <w:sz w:val="24"/>
          <w:szCs w:val="24"/>
        </w:rPr>
        <w:t>s</w:t>
      </w:r>
      <w:r w:rsidR="00FD5408" w:rsidRPr="008D5676">
        <w:rPr>
          <w:rFonts w:eastAsia="PalladioLOT-Roman" w:cs="PalladioLOT-Roman"/>
          <w:color w:val="auto"/>
          <w:sz w:val="24"/>
          <w:szCs w:val="24"/>
        </w:rPr>
        <w:t xml:space="preserve"> 16,2</w:t>
      </w:r>
      <w:r w:rsidR="00CF1AB1" w:rsidRPr="00A22320">
        <w:rPr>
          <w:rFonts w:eastAsia="PalladioLOT-Roman" w:cs="PalladioLOT-Roman"/>
          <w:color w:val="auto"/>
          <w:sz w:val="24"/>
          <w:szCs w:val="24"/>
        </w:rPr>
        <w:t xml:space="preserve"> </w:t>
      </w:r>
      <w:r w:rsidR="00FD5408" w:rsidRPr="008D5676">
        <w:rPr>
          <w:rFonts w:eastAsia="PalladioLOT-Roman" w:cs="PalladioLOT-Roman"/>
          <w:color w:val="auto"/>
          <w:sz w:val="24"/>
          <w:szCs w:val="24"/>
        </w:rPr>
        <w:t>% leta 2010 na 11,7</w:t>
      </w:r>
      <w:r w:rsidR="00CF1AB1" w:rsidRPr="00A22320">
        <w:rPr>
          <w:rFonts w:eastAsia="PalladioLOT-Roman" w:cs="PalladioLOT-Roman"/>
          <w:color w:val="auto"/>
          <w:sz w:val="24"/>
          <w:szCs w:val="24"/>
        </w:rPr>
        <w:t xml:space="preserve"> </w:t>
      </w:r>
      <w:r w:rsidR="00FD5408" w:rsidRPr="008D5676">
        <w:rPr>
          <w:rFonts w:eastAsia="PalladioLOT-Roman" w:cs="PalladioLOT-Roman"/>
          <w:color w:val="auto"/>
          <w:sz w:val="24"/>
          <w:szCs w:val="24"/>
        </w:rPr>
        <w:t xml:space="preserve">% leta 2015) in </w:t>
      </w:r>
      <w:r w:rsidR="00665EA8" w:rsidRPr="008D5676">
        <w:rPr>
          <w:rFonts w:eastAsia="PalladioLOT-Roman" w:cs="PalladioLOT-Roman"/>
          <w:color w:val="auto"/>
          <w:sz w:val="24"/>
          <w:szCs w:val="24"/>
        </w:rPr>
        <w:t xml:space="preserve">v zmanjševanju </w:t>
      </w:r>
      <w:r w:rsidR="00FD5408" w:rsidRPr="008D5676">
        <w:rPr>
          <w:rFonts w:eastAsia="PalladioLOT-Roman" w:cs="PalladioLOT-Roman"/>
          <w:color w:val="auto"/>
          <w:sz w:val="24"/>
          <w:szCs w:val="24"/>
        </w:rPr>
        <w:t>javn</w:t>
      </w:r>
      <w:r w:rsidR="00665EA8" w:rsidRPr="008D5676">
        <w:rPr>
          <w:rFonts w:eastAsia="PalladioLOT-Roman" w:cs="PalladioLOT-Roman"/>
          <w:color w:val="auto"/>
          <w:sz w:val="24"/>
          <w:szCs w:val="24"/>
        </w:rPr>
        <w:t>ih sredst</w:t>
      </w:r>
      <w:r w:rsidR="00CF1AB1" w:rsidRPr="00A22320">
        <w:rPr>
          <w:rFonts w:eastAsia="PalladioLOT-Roman" w:cs="PalladioLOT-Roman"/>
          <w:color w:val="auto"/>
          <w:sz w:val="24"/>
          <w:szCs w:val="24"/>
        </w:rPr>
        <w:t>ev,</w:t>
      </w:r>
      <w:r w:rsidR="00665EA8" w:rsidRPr="008D5676">
        <w:rPr>
          <w:rFonts w:eastAsia="PalladioLOT-Roman" w:cs="PalladioLOT-Roman"/>
          <w:color w:val="auto"/>
          <w:sz w:val="24"/>
          <w:szCs w:val="24"/>
        </w:rPr>
        <w:t xml:space="preserve"> </w:t>
      </w:r>
      <w:r w:rsidR="00FD5408" w:rsidRPr="008D5676">
        <w:rPr>
          <w:rFonts w:eastAsia="PalladioLOT-Roman" w:cs="PalladioLOT-Roman"/>
          <w:color w:val="auto"/>
          <w:sz w:val="24"/>
          <w:szCs w:val="24"/>
        </w:rPr>
        <w:t>namenje</w:t>
      </w:r>
      <w:r w:rsidR="00665EA8" w:rsidRPr="008D5676">
        <w:rPr>
          <w:rFonts w:eastAsia="PalladioLOT-Roman" w:cs="PalladioLOT-Roman"/>
          <w:color w:val="auto"/>
          <w:sz w:val="24"/>
          <w:szCs w:val="24"/>
        </w:rPr>
        <w:t xml:space="preserve">nih </w:t>
      </w:r>
      <w:r w:rsidR="00FD5408" w:rsidRPr="008D5676">
        <w:rPr>
          <w:rFonts w:eastAsia="PalladioLOT-Roman" w:cs="PalladioLOT-Roman"/>
          <w:color w:val="auto"/>
          <w:sz w:val="24"/>
          <w:szCs w:val="24"/>
        </w:rPr>
        <w:t>izobraževanju odraslih (</w:t>
      </w:r>
      <w:r w:rsidR="00665EA8" w:rsidRPr="008D5676">
        <w:rPr>
          <w:rFonts w:eastAsia="PalladioLOT-Roman" w:cs="PalladioLOT-Roman"/>
          <w:color w:val="auto"/>
          <w:sz w:val="24"/>
          <w:szCs w:val="24"/>
        </w:rPr>
        <w:t>ki so se</w:t>
      </w:r>
      <w:r w:rsidR="00FD5408" w:rsidRPr="008D5676">
        <w:rPr>
          <w:rFonts w:eastAsia="PalladioLOT-Roman" w:cs="PalladioLOT-Roman"/>
          <w:color w:val="auto"/>
          <w:sz w:val="24"/>
          <w:szCs w:val="24"/>
        </w:rPr>
        <w:t xml:space="preserve"> </w:t>
      </w:r>
      <w:r w:rsidR="00C4099D" w:rsidRPr="008D5676">
        <w:rPr>
          <w:rFonts w:eastAsia="PalladioLOT-Roman" w:cs="PalladioLOT-Roman"/>
          <w:color w:val="auto"/>
          <w:sz w:val="24"/>
          <w:szCs w:val="24"/>
        </w:rPr>
        <w:t xml:space="preserve">v istem obdobju </w:t>
      </w:r>
      <w:r w:rsidR="00665EA8" w:rsidRPr="008D5676">
        <w:rPr>
          <w:rFonts w:eastAsia="PalladioLOT-Roman" w:cs="PalladioLOT-Roman"/>
          <w:color w:val="auto"/>
          <w:sz w:val="24"/>
          <w:szCs w:val="24"/>
        </w:rPr>
        <w:t xml:space="preserve">zmanjšala </w:t>
      </w:r>
      <w:r w:rsidR="00CF1AB1" w:rsidRPr="00A22320">
        <w:rPr>
          <w:rFonts w:eastAsia="PalladioLOT-Roman" w:cs="PalladioLOT-Roman"/>
          <w:color w:val="auto"/>
          <w:sz w:val="24"/>
          <w:szCs w:val="24"/>
        </w:rPr>
        <w:t>s</w:t>
      </w:r>
      <w:r w:rsidR="00665EA8" w:rsidRPr="008D5676">
        <w:rPr>
          <w:rFonts w:eastAsia="PalladioLOT-Roman" w:cs="PalladioLOT-Roman"/>
          <w:color w:val="auto"/>
          <w:sz w:val="24"/>
          <w:szCs w:val="24"/>
        </w:rPr>
        <w:t xml:space="preserve"> </w:t>
      </w:r>
      <w:r w:rsidR="00FD5408" w:rsidRPr="008D5676">
        <w:rPr>
          <w:rFonts w:eastAsia="PalladioLOT-Roman" w:cs="PalladioLOT-Roman"/>
          <w:color w:val="auto"/>
          <w:sz w:val="24"/>
          <w:szCs w:val="24"/>
        </w:rPr>
        <w:t xml:space="preserve">56 na 24 milijonov </w:t>
      </w:r>
      <w:r w:rsidR="00CF1AB1" w:rsidRPr="00A22320">
        <w:rPr>
          <w:rFonts w:eastAsia="PalladioLOT-Roman" w:cs="PalladioLOT-Roman"/>
          <w:color w:val="auto"/>
          <w:sz w:val="24"/>
          <w:szCs w:val="24"/>
        </w:rPr>
        <w:t>evrov</w:t>
      </w:r>
      <w:r w:rsidR="00FD5408" w:rsidRPr="008D5676">
        <w:rPr>
          <w:rFonts w:eastAsia="PalladioLOT-Roman" w:cs="PalladioLOT-Roman"/>
          <w:color w:val="auto"/>
          <w:sz w:val="24"/>
          <w:szCs w:val="24"/>
        </w:rPr>
        <w:t>) (Drofenik, 2015). Na podlagi analize financiranja iz</w:t>
      </w:r>
      <w:r w:rsidR="00E62A64" w:rsidRPr="008D5676">
        <w:rPr>
          <w:rFonts w:eastAsia="PalladioLOT-Roman" w:cs="PalladioLOT-Roman"/>
          <w:color w:val="auto"/>
          <w:sz w:val="24"/>
          <w:szCs w:val="24"/>
        </w:rPr>
        <w:t xml:space="preserve">obraževanja odraslih se v Sloveniji z </w:t>
      </w:r>
      <w:r w:rsidR="00FD5408" w:rsidRPr="008D5676">
        <w:rPr>
          <w:rFonts w:eastAsia="PalladioLOT-Roman" w:cs="PalladioLOT-Roman"/>
          <w:color w:val="auto"/>
          <w:sz w:val="24"/>
          <w:szCs w:val="24"/>
        </w:rPr>
        <w:t>varčevalni</w:t>
      </w:r>
      <w:r w:rsidR="00E62A64" w:rsidRPr="008D5676">
        <w:rPr>
          <w:rFonts w:eastAsia="PalladioLOT-Roman" w:cs="PalladioLOT-Roman"/>
          <w:color w:val="auto"/>
          <w:sz w:val="24"/>
          <w:szCs w:val="24"/>
        </w:rPr>
        <w:t>mi ukrepi</w:t>
      </w:r>
      <w:r w:rsidR="00FD5408" w:rsidRPr="008D5676">
        <w:rPr>
          <w:rFonts w:eastAsia="PalladioLOT-Roman" w:cs="PalladioLOT-Roman"/>
          <w:color w:val="auto"/>
          <w:sz w:val="24"/>
          <w:szCs w:val="24"/>
        </w:rPr>
        <w:t xml:space="preserve"> in</w:t>
      </w:r>
      <w:r w:rsidR="00E62A64" w:rsidRPr="008D5676">
        <w:rPr>
          <w:rFonts w:eastAsia="PalladioLOT-Roman" w:cs="PalladioLOT-Roman"/>
          <w:color w:val="auto"/>
          <w:sz w:val="24"/>
          <w:szCs w:val="24"/>
        </w:rPr>
        <w:t xml:space="preserve"> z nekritičnim</w:t>
      </w:r>
      <w:r w:rsidR="00FD5408" w:rsidRPr="008D5676">
        <w:rPr>
          <w:rFonts w:eastAsia="PalladioLOT-Roman" w:cs="PalladioLOT-Roman"/>
          <w:color w:val="auto"/>
          <w:sz w:val="24"/>
          <w:szCs w:val="24"/>
        </w:rPr>
        <w:t xml:space="preserve"> zasledovanj</w:t>
      </w:r>
      <w:r w:rsidR="00E62A64" w:rsidRPr="008D5676">
        <w:rPr>
          <w:rFonts w:eastAsia="PalladioLOT-Roman" w:cs="PalladioLOT-Roman"/>
          <w:color w:val="auto"/>
          <w:sz w:val="24"/>
          <w:szCs w:val="24"/>
        </w:rPr>
        <w:t>em evropskih standardov</w:t>
      </w:r>
      <w:r w:rsidR="00FD5408" w:rsidRPr="008D5676">
        <w:rPr>
          <w:rFonts w:eastAsia="PalladioLOT-Roman" w:cs="PalladioLOT-Roman"/>
          <w:color w:val="auto"/>
          <w:sz w:val="24"/>
          <w:szCs w:val="24"/>
        </w:rPr>
        <w:t xml:space="preserve"> opušča tradicij</w:t>
      </w:r>
      <w:r w:rsidR="00CF1AB1" w:rsidRPr="00A22320">
        <w:rPr>
          <w:rFonts w:eastAsia="PalladioLOT-Roman" w:cs="PalladioLOT-Roman"/>
          <w:color w:val="auto"/>
          <w:sz w:val="24"/>
          <w:szCs w:val="24"/>
        </w:rPr>
        <w:t>a</w:t>
      </w:r>
      <w:r w:rsidR="00FD5408" w:rsidRPr="008D5676">
        <w:rPr>
          <w:rFonts w:eastAsia="PalladioLOT-Roman" w:cs="PalladioLOT-Roman"/>
          <w:color w:val="auto"/>
          <w:sz w:val="24"/>
          <w:szCs w:val="24"/>
        </w:rPr>
        <w:t xml:space="preserve"> inovativnega in socialno usmerjenega sistema izobraževanja odraslih, ki </w:t>
      </w:r>
      <w:r w:rsidR="00C4099D" w:rsidRPr="008D5676">
        <w:rPr>
          <w:rFonts w:eastAsia="PalladioLOT-Roman" w:cs="PalladioLOT-Roman"/>
          <w:color w:val="auto"/>
          <w:sz w:val="24"/>
          <w:szCs w:val="24"/>
        </w:rPr>
        <w:t>je</w:t>
      </w:r>
      <w:r w:rsidR="00FD5408" w:rsidRPr="008D5676">
        <w:rPr>
          <w:rFonts w:eastAsia="PalladioLOT-Roman" w:cs="PalladioLOT-Roman"/>
          <w:color w:val="auto"/>
          <w:sz w:val="24"/>
          <w:szCs w:val="24"/>
        </w:rPr>
        <w:t xml:space="preserve"> skozi učenje in izobraževanje </w:t>
      </w:r>
      <w:r w:rsidR="00C4099D" w:rsidRPr="008D5676">
        <w:rPr>
          <w:rFonts w:eastAsia="PalladioLOT-Roman" w:cs="PalladioLOT-Roman"/>
          <w:color w:val="auto"/>
          <w:sz w:val="24"/>
          <w:szCs w:val="24"/>
        </w:rPr>
        <w:t>krepil</w:t>
      </w:r>
      <w:r w:rsidR="00FD5408" w:rsidRPr="008D5676">
        <w:rPr>
          <w:rFonts w:eastAsia="PalladioLOT-Roman" w:cs="PalladioLOT-Roman"/>
          <w:color w:val="auto"/>
          <w:sz w:val="24"/>
          <w:szCs w:val="24"/>
        </w:rPr>
        <w:t xml:space="preserve"> socialno pravičnost in </w:t>
      </w:r>
      <w:r w:rsidR="00C4099D" w:rsidRPr="008D5676">
        <w:rPr>
          <w:rFonts w:eastAsia="PalladioLOT-Roman" w:cs="PalladioLOT-Roman"/>
          <w:color w:val="auto"/>
          <w:sz w:val="24"/>
          <w:szCs w:val="24"/>
        </w:rPr>
        <w:t>osebni ter</w:t>
      </w:r>
      <w:r w:rsidR="00FD5408" w:rsidRPr="008D5676">
        <w:rPr>
          <w:rFonts w:eastAsia="PalladioLOT-Roman" w:cs="PalladioLOT-Roman"/>
          <w:color w:val="auto"/>
          <w:sz w:val="24"/>
          <w:szCs w:val="24"/>
        </w:rPr>
        <w:t xml:space="preserve"> družbeni razvoj (Mikulec in Jelenc Krašovec, 2016; Kump, 2017).</w:t>
      </w:r>
    </w:p>
    <w:p w:rsidR="00B076F9" w:rsidRPr="008D5676" w:rsidRDefault="00E03578" w:rsidP="00D2401C">
      <w:pPr>
        <w:pStyle w:val="nagwek1"/>
        <w:spacing w:line="276" w:lineRule="auto"/>
        <w:rPr>
          <w:rFonts w:asciiTheme="minorHAnsi" w:hAnsiTheme="minorHAnsi"/>
          <w:b/>
          <w:sz w:val="24"/>
          <w:szCs w:val="24"/>
        </w:rPr>
      </w:pPr>
      <w:r w:rsidRPr="00A22320">
        <w:rPr>
          <w:rFonts w:asciiTheme="minorHAnsi" w:hAnsiTheme="minorHAnsi"/>
          <w:b/>
          <w:sz w:val="24"/>
          <w:szCs w:val="24"/>
        </w:rPr>
        <w:t>3</w:t>
      </w:r>
      <w:r w:rsidR="0076333C" w:rsidRPr="00A22320">
        <w:rPr>
          <w:rFonts w:asciiTheme="minorHAnsi" w:hAnsiTheme="minorHAnsi"/>
          <w:b/>
          <w:sz w:val="24"/>
          <w:szCs w:val="24"/>
        </w:rPr>
        <w:t xml:space="preserve"> OPIS RAZISKOVANIH SKUPNOSTI: OZADJE </w:t>
      </w:r>
      <w:r w:rsidR="00665EA8" w:rsidRPr="00A22320">
        <w:rPr>
          <w:rFonts w:asciiTheme="minorHAnsi" w:hAnsiTheme="minorHAnsi"/>
          <w:b/>
          <w:sz w:val="24"/>
          <w:szCs w:val="24"/>
        </w:rPr>
        <w:t>raziskovalnega dela pri ugotavljanju P</w:t>
      </w:r>
      <w:r w:rsidR="0076333C" w:rsidRPr="00A22320">
        <w:rPr>
          <w:rFonts w:asciiTheme="minorHAnsi" w:hAnsiTheme="minorHAnsi"/>
          <w:b/>
          <w:sz w:val="24"/>
          <w:szCs w:val="24"/>
        </w:rPr>
        <w:t>REDNOSTI IN SLABOSTI</w:t>
      </w:r>
      <w:r w:rsidR="005674F2" w:rsidRPr="00A22320">
        <w:rPr>
          <w:rFonts w:asciiTheme="minorHAnsi" w:hAnsiTheme="minorHAnsi"/>
          <w:b/>
          <w:sz w:val="24"/>
          <w:szCs w:val="24"/>
        </w:rPr>
        <w:t xml:space="preserve"> skupnosti</w:t>
      </w:r>
    </w:p>
    <w:p w:rsidR="00DA3911" w:rsidRPr="008D5676" w:rsidRDefault="00DA3911" w:rsidP="00FA5C91">
      <w:pPr>
        <w:pStyle w:val="bodytext"/>
        <w:spacing w:before="0" w:beforeAutospacing="0" w:after="120" w:afterAutospacing="0" w:line="276" w:lineRule="auto"/>
        <w:jc w:val="both"/>
        <w:rPr>
          <w:rFonts w:asciiTheme="minorHAnsi" w:hAnsiTheme="minorHAnsi" w:cs="Arial"/>
        </w:rPr>
      </w:pPr>
      <w:r w:rsidRPr="00A22320">
        <w:rPr>
          <w:rFonts w:asciiTheme="minorHAnsi" w:hAnsiTheme="minorHAnsi" w:cs="Arial"/>
        </w:rPr>
        <w:t xml:space="preserve">Priporočila temeljijo na obsežni kvalitativni raziskavi o vključevanju starejših moških (60+) </w:t>
      </w:r>
      <w:r w:rsidR="0076333C" w:rsidRPr="00A22320">
        <w:rPr>
          <w:rFonts w:asciiTheme="minorHAnsi" w:hAnsiTheme="minorHAnsi" w:cs="Arial"/>
        </w:rPr>
        <w:t>v lokalne skupnosti v Sloveniji. Raziskava je bila iz</w:t>
      </w:r>
      <w:r w:rsidR="00357BEC" w:rsidRPr="00A22320">
        <w:rPr>
          <w:rFonts w:asciiTheme="minorHAnsi" w:hAnsiTheme="minorHAnsi" w:cs="Arial"/>
        </w:rPr>
        <w:t>v</w:t>
      </w:r>
      <w:r w:rsidR="0076333C" w:rsidRPr="00A22320">
        <w:rPr>
          <w:rFonts w:asciiTheme="minorHAnsi" w:hAnsiTheme="minorHAnsi" w:cs="Arial"/>
        </w:rPr>
        <w:t xml:space="preserve">edena </w:t>
      </w:r>
      <w:r w:rsidRPr="00A22320">
        <w:rPr>
          <w:rFonts w:asciiTheme="minorHAnsi" w:hAnsiTheme="minorHAnsi" w:cs="Arial"/>
        </w:rPr>
        <w:t xml:space="preserve">spomladi 2017 v </w:t>
      </w:r>
      <w:r w:rsidR="00FA5C91" w:rsidRPr="00B00973">
        <w:rPr>
          <w:rFonts w:asciiTheme="minorHAnsi" w:hAnsiTheme="minorHAnsi" w:cs="Arial"/>
        </w:rPr>
        <w:t>Č</w:t>
      </w:r>
      <w:r w:rsidRPr="00A22320">
        <w:rPr>
          <w:rFonts w:asciiTheme="minorHAnsi" w:hAnsiTheme="minorHAnsi" w:cs="Arial"/>
        </w:rPr>
        <w:t>etrtn</w:t>
      </w:r>
      <w:r w:rsidR="0076333C" w:rsidRPr="00A22320">
        <w:rPr>
          <w:rFonts w:asciiTheme="minorHAnsi" w:hAnsiTheme="minorHAnsi" w:cs="Arial"/>
        </w:rPr>
        <w:t>i</w:t>
      </w:r>
      <w:r w:rsidRPr="00A22320">
        <w:rPr>
          <w:rFonts w:asciiTheme="minorHAnsi" w:hAnsiTheme="minorHAnsi" w:cs="Arial"/>
        </w:rPr>
        <w:t xml:space="preserve"> skupnost</w:t>
      </w:r>
      <w:r w:rsidR="00357BEC" w:rsidRPr="00A22320">
        <w:rPr>
          <w:rFonts w:asciiTheme="minorHAnsi" w:hAnsiTheme="minorHAnsi" w:cs="Arial"/>
        </w:rPr>
        <w:t xml:space="preserve">i Bežigrad v Ljubljani in </w:t>
      </w:r>
      <w:r w:rsidR="0076333C" w:rsidRPr="00A22320">
        <w:rPr>
          <w:rFonts w:asciiTheme="minorHAnsi" w:hAnsiTheme="minorHAnsi" w:cs="Arial"/>
        </w:rPr>
        <w:t xml:space="preserve">v </w:t>
      </w:r>
      <w:r w:rsidRPr="00A22320">
        <w:rPr>
          <w:rFonts w:asciiTheme="minorHAnsi" w:hAnsiTheme="minorHAnsi" w:cs="Arial"/>
        </w:rPr>
        <w:t>občin</w:t>
      </w:r>
      <w:r w:rsidR="0076333C" w:rsidRPr="00A22320">
        <w:rPr>
          <w:rFonts w:asciiTheme="minorHAnsi" w:hAnsiTheme="minorHAnsi" w:cs="Arial"/>
        </w:rPr>
        <w:t>i Ajdovščina</w:t>
      </w:r>
      <w:r w:rsidR="00357BEC" w:rsidRPr="00A22320">
        <w:rPr>
          <w:rFonts w:asciiTheme="minorHAnsi" w:hAnsiTheme="minorHAnsi" w:cs="Arial"/>
        </w:rPr>
        <w:t xml:space="preserve">, v manjšem </w:t>
      </w:r>
      <w:r w:rsidRPr="00A22320">
        <w:rPr>
          <w:rFonts w:asciiTheme="minorHAnsi" w:hAnsiTheme="minorHAnsi" w:cs="Arial"/>
        </w:rPr>
        <w:t>obsegu</w:t>
      </w:r>
      <w:r w:rsidR="00357BEC" w:rsidRPr="00A22320">
        <w:rPr>
          <w:rFonts w:asciiTheme="minorHAnsi" w:hAnsiTheme="minorHAnsi" w:cs="Arial"/>
        </w:rPr>
        <w:t xml:space="preserve"> pa</w:t>
      </w:r>
      <w:r w:rsidR="0076333C" w:rsidRPr="00A22320">
        <w:rPr>
          <w:rFonts w:asciiTheme="minorHAnsi" w:hAnsiTheme="minorHAnsi" w:cs="Arial"/>
        </w:rPr>
        <w:t xml:space="preserve"> tudi po</w:t>
      </w:r>
      <w:r w:rsidRPr="00A22320">
        <w:rPr>
          <w:rFonts w:asciiTheme="minorHAnsi" w:hAnsiTheme="minorHAnsi" w:cs="Arial"/>
        </w:rPr>
        <w:t xml:space="preserve"> različnih </w:t>
      </w:r>
      <w:r w:rsidR="0076333C" w:rsidRPr="00A22320">
        <w:rPr>
          <w:rFonts w:asciiTheme="minorHAnsi" w:hAnsiTheme="minorHAnsi" w:cs="Arial"/>
        </w:rPr>
        <w:t>krajih po Sloveniji</w:t>
      </w:r>
      <w:r w:rsidRPr="00A22320">
        <w:rPr>
          <w:rFonts w:asciiTheme="minorHAnsi" w:hAnsiTheme="minorHAnsi" w:cs="Arial"/>
        </w:rPr>
        <w:t xml:space="preserve">. </w:t>
      </w:r>
      <w:r w:rsidR="00DE4F66" w:rsidRPr="00A22320">
        <w:rPr>
          <w:rFonts w:asciiTheme="minorHAnsi" w:hAnsiTheme="minorHAnsi" w:cs="Arial"/>
        </w:rPr>
        <w:t xml:space="preserve">Raziskava </w:t>
      </w:r>
      <w:r w:rsidR="0076333C" w:rsidRPr="00A22320">
        <w:rPr>
          <w:rFonts w:asciiTheme="minorHAnsi" w:hAnsiTheme="minorHAnsi" w:cs="Arial"/>
        </w:rPr>
        <w:t xml:space="preserve">zaobsega </w:t>
      </w:r>
      <w:r w:rsidRPr="00A22320">
        <w:rPr>
          <w:rFonts w:asciiTheme="minorHAnsi" w:hAnsiTheme="minorHAnsi" w:cs="Arial"/>
        </w:rPr>
        <w:t>tri fokusne skupine</w:t>
      </w:r>
      <w:r w:rsidR="00357BEC" w:rsidRPr="00A22320">
        <w:rPr>
          <w:rFonts w:asciiTheme="minorHAnsi" w:hAnsiTheme="minorHAnsi" w:cs="Arial"/>
        </w:rPr>
        <w:t xml:space="preserve"> s predstavniki lokalnih</w:t>
      </w:r>
      <w:r w:rsidR="006518C1" w:rsidRPr="00A22320">
        <w:rPr>
          <w:rFonts w:asciiTheme="minorHAnsi" w:hAnsiTheme="minorHAnsi" w:cs="Arial"/>
        </w:rPr>
        <w:t>/občinskih</w:t>
      </w:r>
      <w:r w:rsidR="00357BEC" w:rsidRPr="00A22320">
        <w:rPr>
          <w:rFonts w:asciiTheme="minorHAnsi" w:hAnsiTheme="minorHAnsi" w:cs="Arial"/>
        </w:rPr>
        <w:t xml:space="preserve"> organov ter nevladnega sektorja</w:t>
      </w:r>
      <w:r w:rsidRPr="00A22320">
        <w:rPr>
          <w:rFonts w:asciiTheme="minorHAnsi" w:hAnsiTheme="minorHAnsi" w:cs="Arial"/>
        </w:rPr>
        <w:t>, 98 poglobljenih polstrukturiranih intervjujev</w:t>
      </w:r>
      <w:r w:rsidR="0076333C" w:rsidRPr="00A22320">
        <w:rPr>
          <w:rFonts w:asciiTheme="minorHAnsi" w:hAnsiTheme="minorHAnsi" w:cs="Arial"/>
        </w:rPr>
        <w:t xml:space="preserve"> s starejšimi moškimi</w:t>
      </w:r>
      <w:r w:rsidRPr="00A22320">
        <w:rPr>
          <w:rFonts w:asciiTheme="minorHAnsi" w:hAnsiTheme="minorHAnsi" w:cs="Arial"/>
        </w:rPr>
        <w:t xml:space="preserve">, 10 </w:t>
      </w:r>
      <w:r w:rsidR="0076333C" w:rsidRPr="00A22320">
        <w:rPr>
          <w:rFonts w:asciiTheme="minorHAnsi" w:hAnsiTheme="minorHAnsi" w:cs="Arial"/>
        </w:rPr>
        <w:t xml:space="preserve">študij </w:t>
      </w:r>
      <w:r w:rsidRPr="00A22320">
        <w:rPr>
          <w:rFonts w:asciiTheme="minorHAnsi" w:hAnsiTheme="minorHAnsi" w:cs="Arial"/>
        </w:rPr>
        <w:t>primerov dobr</w:t>
      </w:r>
      <w:r w:rsidR="0076333C" w:rsidRPr="00A22320">
        <w:rPr>
          <w:rFonts w:asciiTheme="minorHAnsi" w:hAnsiTheme="minorHAnsi" w:cs="Arial"/>
        </w:rPr>
        <w:t>ih praks</w:t>
      </w:r>
      <w:r w:rsidRPr="00A22320">
        <w:rPr>
          <w:rFonts w:asciiTheme="minorHAnsi" w:hAnsiTheme="minorHAnsi" w:cs="Arial"/>
        </w:rPr>
        <w:t xml:space="preserve"> ter pregled obstoječe znanstvene literature, slovenske in evropske politike o izobraževanju in vključeva</w:t>
      </w:r>
      <w:r w:rsidR="00DE4F66" w:rsidRPr="00A22320">
        <w:rPr>
          <w:rFonts w:asciiTheme="minorHAnsi" w:hAnsiTheme="minorHAnsi" w:cs="Arial"/>
        </w:rPr>
        <w:t>nju starejših odraslih v lokaln</w:t>
      </w:r>
      <w:r w:rsidR="00357BEC" w:rsidRPr="00A22320">
        <w:rPr>
          <w:rFonts w:asciiTheme="minorHAnsi" w:hAnsiTheme="minorHAnsi" w:cs="Arial"/>
        </w:rPr>
        <w:t>e</w:t>
      </w:r>
      <w:r w:rsidRPr="00A22320">
        <w:rPr>
          <w:rFonts w:asciiTheme="minorHAnsi" w:hAnsiTheme="minorHAnsi" w:cs="Arial"/>
        </w:rPr>
        <w:t xml:space="preserve"> skupnosti za boljšo kakovost življenja.</w:t>
      </w:r>
    </w:p>
    <w:p w:rsidR="00B218BF" w:rsidRPr="008D5676" w:rsidRDefault="00357BEC" w:rsidP="00D2401C">
      <w:pPr>
        <w:pStyle w:val="bodytext"/>
        <w:spacing w:before="0" w:beforeAutospacing="0" w:after="120" w:afterAutospacing="0" w:line="276" w:lineRule="auto"/>
        <w:jc w:val="both"/>
        <w:rPr>
          <w:rFonts w:asciiTheme="minorHAnsi" w:hAnsiTheme="minorHAnsi" w:cs="Arial"/>
        </w:rPr>
      </w:pPr>
      <w:r w:rsidRPr="00A22320">
        <w:rPr>
          <w:rFonts w:asciiTheme="minorHAnsi" w:hAnsiTheme="minorHAnsi" w:cs="Arial"/>
        </w:rPr>
        <w:lastRenderedPageBreak/>
        <w:t>M</w:t>
      </w:r>
      <w:r w:rsidR="0076333C" w:rsidRPr="00A22320">
        <w:rPr>
          <w:rFonts w:asciiTheme="minorHAnsi" w:hAnsiTheme="minorHAnsi" w:cs="Arial"/>
        </w:rPr>
        <w:t>ed dvaindvajset</w:t>
      </w:r>
      <w:r w:rsidRPr="00A22320">
        <w:rPr>
          <w:rFonts w:asciiTheme="minorHAnsi" w:hAnsiTheme="minorHAnsi" w:cs="Arial"/>
        </w:rPr>
        <w:t>imi</w:t>
      </w:r>
      <w:r w:rsidR="00FA2EBE" w:rsidRPr="00A22320">
        <w:rPr>
          <w:rFonts w:asciiTheme="minorHAnsi" w:hAnsiTheme="minorHAnsi" w:cs="Arial"/>
        </w:rPr>
        <w:t xml:space="preserve"> udeleženc</w:t>
      </w:r>
      <w:r w:rsidRPr="00A22320">
        <w:rPr>
          <w:rFonts w:asciiTheme="minorHAnsi" w:hAnsiTheme="minorHAnsi" w:cs="Arial"/>
        </w:rPr>
        <w:t>i treh fokusnih skupin</w:t>
      </w:r>
      <w:r w:rsidR="00FA2EBE" w:rsidRPr="00A22320">
        <w:rPr>
          <w:rFonts w:asciiTheme="minorHAnsi" w:hAnsiTheme="minorHAnsi" w:cs="Arial"/>
        </w:rPr>
        <w:t xml:space="preserve">, izvedenih v Ljubljani  Bežigrad </w:t>
      </w:r>
      <w:r w:rsidR="0076333C" w:rsidRPr="00A22320">
        <w:rPr>
          <w:rFonts w:asciiTheme="minorHAnsi" w:hAnsiTheme="minorHAnsi" w:cs="Arial"/>
        </w:rPr>
        <w:t>(2) in Ajdovščini (1), je bilo pet</w:t>
      </w:r>
      <w:r w:rsidR="00FA2EBE" w:rsidRPr="00A22320">
        <w:rPr>
          <w:rFonts w:asciiTheme="minorHAnsi" w:hAnsiTheme="minorHAnsi" w:cs="Arial"/>
        </w:rPr>
        <w:t xml:space="preserve"> predstavnikov </w:t>
      </w:r>
      <w:r w:rsidRPr="00A22320">
        <w:rPr>
          <w:rFonts w:asciiTheme="minorHAnsi" w:hAnsiTheme="minorHAnsi" w:cs="Arial"/>
        </w:rPr>
        <w:t>iz mestnih</w:t>
      </w:r>
      <w:r w:rsidR="0076333C" w:rsidRPr="00A22320">
        <w:rPr>
          <w:rFonts w:asciiTheme="minorHAnsi" w:hAnsiTheme="minorHAnsi" w:cs="Arial"/>
        </w:rPr>
        <w:t xml:space="preserve"> in občinskih ustanov, šest</w:t>
      </w:r>
      <w:r w:rsidR="00FA2EBE" w:rsidRPr="00A22320">
        <w:rPr>
          <w:rFonts w:asciiTheme="minorHAnsi" w:hAnsiTheme="minorHAnsi" w:cs="Arial"/>
        </w:rPr>
        <w:t xml:space="preserve"> pred</w:t>
      </w:r>
      <w:r w:rsidR="0076333C" w:rsidRPr="00A22320">
        <w:rPr>
          <w:rFonts w:asciiTheme="minorHAnsi" w:hAnsiTheme="minorHAnsi" w:cs="Arial"/>
        </w:rPr>
        <w:t xml:space="preserve">stavnikov </w:t>
      </w:r>
      <w:r w:rsidRPr="00A22320">
        <w:rPr>
          <w:rFonts w:asciiTheme="minorHAnsi" w:hAnsiTheme="minorHAnsi" w:cs="Arial"/>
        </w:rPr>
        <w:t xml:space="preserve">iz nacionalnih </w:t>
      </w:r>
      <w:r w:rsidR="0076333C" w:rsidRPr="00A22320">
        <w:rPr>
          <w:rFonts w:asciiTheme="minorHAnsi" w:hAnsiTheme="minorHAnsi" w:cs="Arial"/>
        </w:rPr>
        <w:t>javnih institucij in enajst</w:t>
      </w:r>
      <w:r w:rsidR="00FA2EBE" w:rsidRPr="00A22320">
        <w:rPr>
          <w:rFonts w:asciiTheme="minorHAnsi" w:hAnsiTheme="minorHAnsi" w:cs="Arial"/>
        </w:rPr>
        <w:t xml:space="preserve"> predstavnikov </w:t>
      </w:r>
      <w:r w:rsidRPr="00A22320">
        <w:rPr>
          <w:rFonts w:asciiTheme="minorHAnsi" w:hAnsiTheme="minorHAnsi" w:cs="Arial"/>
        </w:rPr>
        <w:t xml:space="preserve">iz </w:t>
      </w:r>
      <w:r w:rsidR="00FA2EBE" w:rsidRPr="00A22320">
        <w:rPr>
          <w:rFonts w:asciiTheme="minorHAnsi" w:hAnsiTheme="minorHAnsi" w:cs="Arial"/>
        </w:rPr>
        <w:t>nevladnih organizac</w:t>
      </w:r>
      <w:r w:rsidR="00F47117" w:rsidRPr="00A22320">
        <w:rPr>
          <w:rFonts w:asciiTheme="minorHAnsi" w:hAnsiTheme="minorHAnsi" w:cs="Arial"/>
        </w:rPr>
        <w:t>ij</w:t>
      </w:r>
      <w:r w:rsidR="00FA2EBE" w:rsidRPr="00A22320">
        <w:rPr>
          <w:rFonts w:asciiTheme="minorHAnsi" w:hAnsiTheme="minorHAnsi" w:cs="Arial"/>
        </w:rPr>
        <w:t xml:space="preserve"> ali civilne družbe. </w:t>
      </w:r>
    </w:p>
    <w:p w:rsidR="00DA021B" w:rsidRPr="008D5676" w:rsidRDefault="00FA2EBE" w:rsidP="00F47117">
      <w:pPr>
        <w:pStyle w:val="bodytext"/>
        <w:spacing w:before="0" w:beforeAutospacing="0" w:after="120" w:afterAutospacing="0" w:line="276" w:lineRule="auto"/>
        <w:jc w:val="both"/>
        <w:rPr>
          <w:rFonts w:asciiTheme="minorHAnsi" w:hAnsiTheme="minorHAnsi" w:cs="Arial"/>
        </w:rPr>
      </w:pPr>
      <w:r w:rsidRPr="00A22320">
        <w:rPr>
          <w:rFonts w:asciiTheme="minorHAnsi" w:hAnsiTheme="minorHAnsi" w:cs="Arial"/>
        </w:rPr>
        <w:t>Od 98 inte</w:t>
      </w:r>
      <w:r w:rsidR="00357BEC" w:rsidRPr="00A22320">
        <w:rPr>
          <w:rFonts w:asciiTheme="minorHAnsi" w:hAnsiTheme="minorHAnsi" w:cs="Arial"/>
        </w:rPr>
        <w:t>rvjujev, izbranih za analizo, jih je</w:t>
      </w:r>
      <w:r w:rsidRPr="00A22320">
        <w:rPr>
          <w:rFonts w:asciiTheme="minorHAnsi" w:hAnsiTheme="minorHAnsi" w:cs="Arial"/>
        </w:rPr>
        <w:t xml:space="preserve"> bilo </w:t>
      </w:r>
      <w:r w:rsidR="00B218BF" w:rsidRPr="00A22320">
        <w:rPr>
          <w:rFonts w:asciiTheme="minorHAnsi" w:hAnsiTheme="minorHAnsi" w:cs="Arial"/>
        </w:rPr>
        <w:t xml:space="preserve">42 opravljenih </w:t>
      </w:r>
      <w:r w:rsidRPr="00A22320">
        <w:rPr>
          <w:rFonts w:asciiTheme="minorHAnsi" w:hAnsiTheme="minorHAnsi" w:cs="Arial"/>
        </w:rPr>
        <w:t>v mestnem okolju presto</w:t>
      </w:r>
      <w:r w:rsidR="00B218BF" w:rsidRPr="00A22320">
        <w:rPr>
          <w:rFonts w:asciiTheme="minorHAnsi" w:hAnsiTheme="minorHAnsi" w:cs="Arial"/>
        </w:rPr>
        <w:t>lnice (Bežigrad)</w:t>
      </w:r>
      <w:r w:rsidR="00BF67C6" w:rsidRPr="00A22320">
        <w:rPr>
          <w:rFonts w:asciiTheme="minorHAnsi" w:hAnsiTheme="minorHAnsi" w:cs="Arial"/>
        </w:rPr>
        <w:t>, 41</w:t>
      </w:r>
      <w:r w:rsidR="00357BEC" w:rsidRPr="00A22320">
        <w:rPr>
          <w:rFonts w:asciiTheme="minorHAnsi" w:hAnsiTheme="minorHAnsi" w:cs="Arial"/>
        </w:rPr>
        <w:t xml:space="preserve"> </w:t>
      </w:r>
      <w:r w:rsidRPr="00A22320">
        <w:rPr>
          <w:rFonts w:asciiTheme="minorHAnsi" w:hAnsiTheme="minorHAnsi" w:cs="Arial"/>
        </w:rPr>
        <w:t>v polurbani občini Ajdovščina in njeni podeželski okolici</w:t>
      </w:r>
      <w:r w:rsidR="00BF67C6" w:rsidRPr="00A22320">
        <w:rPr>
          <w:rFonts w:asciiTheme="minorHAnsi" w:hAnsiTheme="minorHAnsi" w:cs="Arial"/>
        </w:rPr>
        <w:t xml:space="preserve">, </w:t>
      </w:r>
      <w:r w:rsidRPr="00A22320">
        <w:rPr>
          <w:rFonts w:asciiTheme="minorHAnsi" w:hAnsiTheme="minorHAnsi" w:cs="Arial"/>
        </w:rPr>
        <w:t xml:space="preserve">15 </w:t>
      </w:r>
      <w:r w:rsidR="004B33EF" w:rsidRPr="00A22320">
        <w:rPr>
          <w:rFonts w:asciiTheme="minorHAnsi" w:hAnsiTheme="minorHAnsi" w:cs="Arial"/>
        </w:rPr>
        <w:t xml:space="preserve">intervjuvanih </w:t>
      </w:r>
      <w:r w:rsidRPr="00A22320">
        <w:rPr>
          <w:rFonts w:asciiTheme="minorHAnsi" w:hAnsiTheme="minorHAnsi" w:cs="Arial"/>
        </w:rPr>
        <w:t>sociokulturni</w:t>
      </w:r>
      <w:r w:rsidR="004B33EF" w:rsidRPr="00A22320">
        <w:rPr>
          <w:rFonts w:asciiTheme="minorHAnsi" w:hAnsiTheme="minorHAnsi" w:cs="Arial"/>
        </w:rPr>
        <w:t>h</w:t>
      </w:r>
      <w:r w:rsidRPr="00A22320">
        <w:rPr>
          <w:rFonts w:asciiTheme="minorHAnsi" w:hAnsiTheme="minorHAnsi" w:cs="Arial"/>
        </w:rPr>
        <w:t xml:space="preserve"> animatorj</w:t>
      </w:r>
      <w:r w:rsidR="004B33EF" w:rsidRPr="00A22320">
        <w:rPr>
          <w:rFonts w:asciiTheme="minorHAnsi" w:hAnsiTheme="minorHAnsi" w:cs="Arial"/>
        </w:rPr>
        <w:t xml:space="preserve">ev </w:t>
      </w:r>
      <w:r w:rsidR="00BF67C6" w:rsidRPr="00A22320">
        <w:rPr>
          <w:rFonts w:asciiTheme="minorHAnsi" w:hAnsiTheme="minorHAnsi" w:cs="Arial"/>
        </w:rPr>
        <w:t xml:space="preserve">pa </w:t>
      </w:r>
      <w:r w:rsidR="004B33EF" w:rsidRPr="00A22320">
        <w:rPr>
          <w:rFonts w:asciiTheme="minorHAnsi" w:hAnsiTheme="minorHAnsi" w:cs="Arial"/>
        </w:rPr>
        <w:t>je prihajalo iz r</w:t>
      </w:r>
      <w:r w:rsidRPr="00A22320">
        <w:rPr>
          <w:rFonts w:asciiTheme="minorHAnsi" w:hAnsiTheme="minorHAnsi" w:cs="Arial"/>
        </w:rPr>
        <w:t>azličnih koncev Slovenije, predvsem iz podeželskih</w:t>
      </w:r>
      <w:r w:rsidR="00DE4F66" w:rsidRPr="00A22320">
        <w:rPr>
          <w:rFonts w:asciiTheme="minorHAnsi" w:hAnsiTheme="minorHAnsi" w:cs="Arial"/>
        </w:rPr>
        <w:t xml:space="preserve"> občin ali iz </w:t>
      </w:r>
      <w:r w:rsidRPr="00A22320">
        <w:rPr>
          <w:rFonts w:asciiTheme="minorHAnsi" w:hAnsiTheme="minorHAnsi" w:cs="Arial"/>
        </w:rPr>
        <w:t xml:space="preserve">manjših </w:t>
      </w:r>
      <w:r w:rsidR="00DE4F66" w:rsidRPr="00A22320">
        <w:rPr>
          <w:rFonts w:asciiTheme="minorHAnsi" w:hAnsiTheme="minorHAnsi" w:cs="Arial"/>
        </w:rPr>
        <w:t>kraj</w:t>
      </w:r>
      <w:r w:rsidR="00357BEC" w:rsidRPr="00A22320">
        <w:rPr>
          <w:rFonts w:asciiTheme="minorHAnsi" w:hAnsiTheme="minorHAnsi" w:cs="Arial"/>
        </w:rPr>
        <w:t>e</w:t>
      </w:r>
      <w:r w:rsidR="00DE4F66" w:rsidRPr="00A22320">
        <w:rPr>
          <w:rFonts w:asciiTheme="minorHAnsi" w:hAnsiTheme="minorHAnsi" w:cs="Arial"/>
        </w:rPr>
        <w:t>v</w:t>
      </w:r>
      <w:r w:rsidR="00357BEC" w:rsidRPr="00A22320">
        <w:rPr>
          <w:rFonts w:asciiTheme="minorHAnsi" w:hAnsiTheme="minorHAnsi" w:cs="Arial"/>
        </w:rPr>
        <w:t xml:space="preserve">, trije </w:t>
      </w:r>
      <w:r w:rsidR="00F47117" w:rsidRPr="00A22320">
        <w:rPr>
          <w:rFonts w:asciiTheme="minorHAnsi" w:hAnsiTheme="minorHAnsi" w:cs="Arial"/>
        </w:rPr>
        <w:t>od</w:t>
      </w:r>
      <w:r w:rsidR="00357BEC" w:rsidRPr="00A22320">
        <w:rPr>
          <w:rFonts w:asciiTheme="minorHAnsi" w:hAnsiTheme="minorHAnsi" w:cs="Arial"/>
        </w:rPr>
        <w:t xml:space="preserve"> nji</w:t>
      </w:r>
      <w:r w:rsidR="00F47117" w:rsidRPr="00A22320">
        <w:rPr>
          <w:rFonts w:asciiTheme="minorHAnsi" w:hAnsiTheme="minorHAnsi" w:cs="Arial"/>
        </w:rPr>
        <w:t xml:space="preserve">h </w:t>
      </w:r>
      <w:r w:rsidR="005E4A65" w:rsidRPr="00A22320">
        <w:rPr>
          <w:rFonts w:asciiTheme="minorHAnsi" w:hAnsiTheme="minorHAnsi" w:cs="Arial"/>
        </w:rPr>
        <w:t xml:space="preserve">pa </w:t>
      </w:r>
      <w:r w:rsidR="00357BEC" w:rsidRPr="00A22320">
        <w:rPr>
          <w:rFonts w:asciiTheme="minorHAnsi" w:hAnsiTheme="minorHAnsi" w:cs="Arial"/>
        </w:rPr>
        <w:t xml:space="preserve">so bili iz različnih delov </w:t>
      </w:r>
      <w:r w:rsidR="005E4A65" w:rsidRPr="00A22320">
        <w:rPr>
          <w:rFonts w:asciiTheme="minorHAnsi" w:hAnsiTheme="minorHAnsi" w:cs="Arial"/>
        </w:rPr>
        <w:t>Ljubljane</w:t>
      </w:r>
      <w:r w:rsidR="00357BEC" w:rsidRPr="00A22320">
        <w:rPr>
          <w:rFonts w:asciiTheme="minorHAnsi" w:hAnsiTheme="minorHAnsi" w:cs="Arial"/>
        </w:rPr>
        <w:t xml:space="preserve">. </w:t>
      </w:r>
      <w:r w:rsidR="0076333C" w:rsidRPr="00A22320">
        <w:rPr>
          <w:rFonts w:asciiTheme="minorHAnsi" w:hAnsiTheme="minorHAnsi" w:cs="Arial"/>
        </w:rPr>
        <w:t>P</w:t>
      </w:r>
      <w:r w:rsidRPr="00A22320">
        <w:rPr>
          <w:rFonts w:asciiTheme="minorHAnsi" w:hAnsiTheme="minorHAnsi" w:cs="Arial"/>
        </w:rPr>
        <w:t xml:space="preserve">ovprečna starost </w:t>
      </w:r>
      <w:r w:rsidR="00DA021B" w:rsidRPr="00A22320">
        <w:rPr>
          <w:rFonts w:asciiTheme="minorHAnsi" w:hAnsiTheme="minorHAnsi" w:cs="Arial"/>
        </w:rPr>
        <w:t>intervjuvancev</w:t>
      </w:r>
      <w:r w:rsidRPr="00A22320">
        <w:rPr>
          <w:rFonts w:asciiTheme="minorHAnsi" w:hAnsiTheme="minorHAnsi" w:cs="Arial"/>
        </w:rPr>
        <w:t xml:space="preserve"> je bila 71 let</w:t>
      </w:r>
      <w:r w:rsidR="00357BEC" w:rsidRPr="00A22320">
        <w:rPr>
          <w:rFonts w:asciiTheme="minorHAnsi" w:hAnsiTheme="minorHAnsi" w:cs="Arial"/>
        </w:rPr>
        <w:t>. Najbolj sta bili zastopani starostni</w:t>
      </w:r>
      <w:r w:rsidRPr="00A22320">
        <w:rPr>
          <w:rFonts w:asciiTheme="minorHAnsi" w:hAnsiTheme="minorHAnsi" w:cs="Arial"/>
        </w:rPr>
        <w:t xml:space="preserve"> sku</w:t>
      </w:r>
      <w:r w:rsidR="00357BEC" w:rsidRPr="00A22320">
        <w:rPr>
          <w:rFonts w:asciiTheme="minorHAnsi" w:hAnsiTheme="minorHAnsi" w:cs="Arial"/>
        </w:rPr>
        <w:t>pini</w:t>
      </w:r>
      <w:r w:rsidR="0076333C" w:rsidRPr="00A22320">
        <w:rPr>
          <w:rFonts w:asciiTheme="minorHAnsi" w:hAnsiTheme="minorHAnsi" w:cs="Arial"/>
        </w:rPr>
        <w:t xml:space="preserve"> 60</w:t>
      </w:r>
      <w:r w:rsidR="00F47117" w:rsidRPr="00A22320">
        <w:rPr>
          <w:rFonts w:asciiTheme="minorHAnsi" w:hAnsiTheme="minorHAnsi" w:cs="Arial"/>
        </w:rPr>
        <w:t>‒</w:t>
      </w:r>
      <w:r w:rsidR="0076333C" w:rsidRPr="00A22320">
        <w:rPr>
          <w:rFonts w:asciiTheme="minorHAnsi" w:hAnsiTheme="minorHAnsi" w:cs="Arial"/>
        </w:rPr>
        <w:t>69</w:t>
      </w:r>
      <w:r w:rsidR="00526E4E" w:rsidRPr="00A22320">
        <w:rPr>
          <w:rFonts w:asciiTheme="minorHAnsi" w:hAnsiTheme="minorHAnsi" w:cs="Arial"/>
        </w:rPr>
        <w:t xml:space="preserve"> let</w:t>
      </w:r>
      <w:r w:rsidR="0076333C" w:rsidRPr="00A22320">
        <w:rPr>
          <w:rFonts w:asciiTheme="minorHAnsi" w:hAnsiTheme="minorHAnsi" w:cs="Arial"/>
        </w:rPr>
        <w:t xml:space="preserve"> (46</w:t>
      </w:r>
      <w:r w:rsidR="00F47117" w:rsidRPr="00A22320">
        <w:rPr>
          <w:rFonts w:asciiTheme="minorHAnsi" w:hAnsiTheme="minorHAnsi" w:cs="Arial"/>
        </w:rPr>
        <w:t xml:space="preserve"> </w:t>
      </w:r>
      <w:r w:rsidR="0076333C" w:rsidRPr="00A22320">
        <w:rPr>
          <w:rFonts w:asciiTheme="minorHAnsi" w:hAnsiTheme="minorHAnsi" w:cs="Arial"/>
        </w:rPr>
        <w:t>%) in 70</w:t>
      </w:r>
      <w:r w:rsidR="00F47117" w:rsidRPr="00A22320">
        <w:rPr>
          <w:rFonts w:asciiTheme="minorHAnsi" w:hAnsiTheme="minorHAnsi" w:cs="Arial"/>
        </w:rPr>
        <w:t>‒</w:t>
      </w:r>
      <w:r w:rsidR="0076333C" w:rsidRPr="00A22320">
        <w:rPr>
          <w:rFonts w:asciiTheme="minorHAnsi" w:hAnsiTheme="minorHAnsi" w:cs="Arial"/>
        </w:rPr>
        <w:t>79</w:t>
      </w:r>
      <w:r w:rsidR="00526E4E" w:rsidRPr="00A22320">
        <w:rPr>
          <w:rFonts w:asciiTheme="minorHAnsi" w:hAnsiTheme="minorHAnsi" w:cs="Arial"/>
        </w:rPr>
        <w:t xml:space="preserve"> let</w:t>
      </w:r>
      <w:r w:rsidR="0076333C" w:rsidRPr="00A22320">
        <w:rPr>
          <w:rFonts w:asciiTheme="minorHAnsi" w:hAnsiTheme="minorHAnsi" w:cs="Arial"/>
        </w:rPr>
        <w:t xml:space="preserve"> (41</w:t>
      </w:r>
      <w:r w:rsidR="00F47117" w:rsidRPr="00A22320">
        <w:rPr>
          <w:rFonts w:asciiTheme="minorHAnsi" w:hAnsiTheme="minorHAnsi" w:cs="Arial"/>
        </w:rPr>
        <w:t xml:space="preserve"> </w:t>
      </w:r>
      <w:r w:rsidR="0076333C" w:rsidRPr="00A22320">
        <w:rPr>
          <w:rFonts w:asciiTheme="minorHAnsi" w:hAnsiTheme="minorHAnsi" w:cs="Arial"/>
        </w:rPr>
        <w:t>%). N</w:t>
      </w:r>
      <w:r w:rsidRPr="00A22320">
        <w:rPr>
          <w:rFonts w:asciiTheme="minorHAnsi" w:hAnsiTheme="minorHAnsi" w:cs="Arial"/>
        </w:rPr>
        <w:t xml:space="preserve">ajmanj </w:t>
      </w:r>
      <w:r w:rsidR="00F47117" w:rsidRPr="00A22320">
        <w:rPr>
          <w:rFonts w:asciiTheme="minorHAnsi" w:hAnsiTheme="minorHAnsi" w:cs="Arial"/>
        </w:rPr>
        <w:t xml:space="preserve">pa je bila </w:t>
      </w:r>
      <w:r w:rsidRPr="00A22320">
        <w:rPr>
          <w:rFonts w:asciiTheme="minorHAnsi" w:hAnsiTheme="minorHAnsi" w:cs="Arial"/>
        </w:rPr>
        <w:t>zastopana starostna skupina 80 let in več (12</w:t>
      </w:r>
      <w:r w:rsidR="00F47117" w:rsidRPr="00A22320">
        <w:rPr>
          <w:rFonts w:asciiTheme="minorHAnsi" w:hAnsiTheme="minorHAnsi" w:cs="Arial"/>
        </w:rPr>
        <w:t xml:space="preserve"> </w:t>
      </w:r>
      <w:r w:rsidRPr="00A22320">
        <w:rPr>
          <w:rFonts w:asciiTheme="minorHAnsi" w:hAnsiTheme="minorHAnsi" w:cs="Arial"/>
        </w:rPr>
        <w:t xml:space="preserve">%). V raziskavo so bili vključeni tudi trije upokojenci, mlajši od 60 let. Najmlajši intervjuvanec je bil star 56 let in najstarejši 86 let. </w:t>
      </w:r>
    </w:p>
    <w:p w:rsidR="00F67A78" w:rsidRPr="008D5676" w:rsidRDefault="00DA021B" w:rsidP="00764971">
      <w:pPr>
        <w:pStyle w:val="bodytext"/>
        <w:spacing w:before="0" w:beforeAutospacing="0" w:after="120" w:afterAutospacing="0" w:line="276" w:lineRule="auto"/>
        <w:jc w:val="both"/>
        <w:rPr>
          <w:rFonts w:asciiTheme="minorHAnsi" w:hAnsiTheme="minorHAnsi" w:cs="Arial"/>
        </w:rPr>
      </w:pPr>
      <w:r w:rsidRPr="00A22320">
        <w:rPr>
          <w:rFonts w:asciiTheme="minorHAnsi" w:hAnsiTheme="minorHAnsi" w:cs="Arial"/>
        </w:rPr>
        <w:t>V</w:t>
      </w:r>
      <w:r w:rsidR="001B4F6E" w:rsidRPr="00A22320">
        <w:rPr>
          <w:rFonts w:asciiTheme="minorHAnsi" w:hAnsiTheme="minorHAnsi" w:cs="Arial"/>
        </w:rPr>
        <w:t>ečina intervjuvancev</w:t>
      </w:r>
      <w:r w:rsidR="00FA2EBE" w:rsidRPr="00A22320">
        <w:rPr>
          <w:rFonts w:asciiTheme="minorHAnsi" w:hAnsiTheme="minorHAnsi" w:cs="Arial"/>
        </w:rPr>
        <w:t xml:space="preserve"> je zaključila višje sekundarno izobraževanje, to je splošno, poklicno in tehnično srednješolsko izobraževanje (ISCED</w:t>
      </w:r>
      <w:r w:rsidR="00F47117" w:rsidRPr="00A22320">
        <w:rPr>
          <w:rFonts w:asciiTheme="minorHAnsi" w:hAnsiTheme="minorHAnsi" w:cs="Arial"/>
        </w:rPr>
        <w:t>-</w:t>
      </w:r>
      <w:r w:rsidR="001B4F6E" w:rsidRPr="00A22320">
        <w:rPr>
          <w:rFonts w:asciiTheme="minorHAnsi" w:hAnsiTheme="minorHAnsi" w:cs="Arial"/>
        </w:rPr>
        <w:t>stopnja</w:t>
      </w:r>
      <w:r w:rsidR="00FA2EBE" w:rsidRPr="00A22320">
        <w:rPr>
          <w:rFonts w:asciiTheme="minorHAnsi" w:hAnsiTheme="minorHAnsi" w:cs="Arial"/>
        </w:rPr>
        <w:t xml:space="preserve"> 4 in 5) (54</w:t>
      </w:r>
      <w:r w:rsidR="00F47117" w:rsidRPr="00A22320">
        <w:rPr>
          <w:rFonts w:asciiTheme="minorHAnsi" w:hAnsiTheme="minorHAnsi" w:cs="Arial"/>
        </w:rPr>
        <w:t xml:space="preserve"> </w:t>
      </w:r>
      <w:r w:rsidR="00FA2EBE" w:rsidRPr="00A22320">
        <w:rPr>
          <w:rFonts w:asciiTheme="minorHAnsi" w:hAnsiTheme="minorHAnsi" w:cs="Arial"/>
        </w:rPr>
        <w:t>%)</w:t>
      </w:r>
      <w:r w:rsidR="004731D9" w:rsidRPr="00A22320">
        <w:rPr>
          <w:rFonts w:asciiTheme="minorHAnsi" w:hAnsiTheme="minorHAnsi" w:cs="Arial"/>
        </w:rPr>
        <w:t>. Tej skupi</w:t>
      </w:r>
      <w:r w:rsidR="001B4F6E" w:rsidRPr="00A22320">
        <w:rPr>
          <w:rFonts w:asciiTheme="minorHAnsi" w:hAnsiTheme="minorHAnsi" w:cs="Arial"/>
        </w:rPr>
        <w:t>ni sledijo intervjuvanci, ki so imeli z</w:t>
      </w:r>
      <w:r w:rsidR="00FA2EBE" w:rsidRPr="00A22320">
        <w:rPr>
          <w:rFonts w:asciiTheme="minorHAnsi" w:hAnsiTheme="minorHAnsi" w:cs="Arial"/>
        </w:rPr>
        <w:t>aključen prvi ciklus terciarnega izobraževanja, to je višje poklicno izobraževanje ter višja strokovna in akademska izobrazba (</w:t>
      </w:r>
      <w:r w:rsidR="001B4F6E" w:rsidRPr="00A22320">
        <w:rPr>
          <w:rFonts w:asciiTheme="minorHAnsi" w:hAnsiTheme="minorHAnsi" w:cs="Arial"/>
        </w:rPr>
        <w:t>ISCED</w:t>
      </w:r>
      <w:r w:rsidR="00F47117" w:rsidRPr="00A22320">
        <w:rPr>
          <w:rFonts w:asciiTheme="minorHAnsi" w:hAnsiTheme="minorHAnsi" w:cs="Arial"/>
        </w:rPr>
        <w:t>-</w:t>
      </w:r>
      <w:r w:rsidR="00F67A78" w:rsidRPr="00A22320">
        <w:rPr>
          <w:rFonts w:asciiTheme="minorHAnsi" w:hAnsiTheme="minorHAnsi" w:cs="Arial"/>
        </w:rPr>
        <w:t>stopnja 6</w:t>
      </w:r>
      <w:r w:rsidR="001B4F6E" w:rsidRPr="00A22320">
        <w:rPr>
          <w:rFonts w:asciiTheme="minorHAnsi" w:hAnsiTheme="minorHAnsi" w:cs="Arial"/>
        </w:rPr>
        <w:t>) (25</w:t>
      </w:r>
      <w:r w:rsidR="00F47117" w:rsidRPr="00A22320">
        <w:rPr>
          <w:rFonts w:asciiTheme="minorHAnsi" w:hAnsiTheme="minorHAnsi" w:cs="Arial"/>
        </w:rPr>
        <w:t xml:space="preserve"> </w:t>
      </w:r>
      <w:r w:rsidR="001B4F6E" w:rsidRPr="00A22320">
        <w:rPr>
          <w:rFonts w:asciiTheme="minorHAnsi" w:hAnsiTheme="minorHAnsi" w:cs="Arial"/>
        </w:rPr>
        <w:t xml:space="preserve">%). </w:t>
      </w:r>
      <w:r w:rsidR="00F47117" w:rsidRPr="00A22320">
        <w:rPr>
          <w:rFonts w:asciiTheme="minorHAnsi" w:hAnsiTheme="minorHAnsi" w:cs="Arial"/>
        </w:rPr>
        <w:t>Deset odstotkov</w:t>
      </w:r>
      <w:r w:rsidR="001B4F6E" w:rsidRPr="00A22320">
        <w:rPr>
          <w:rFonts w:asciiTheme="minorHAnsi" w:hAnsiTheme="minorHAnsi" w:cs="Arial"/>
        </w:rPr>
        <w:t xml:space="preserve"> intervjuvancev </w:t>
      </w:r>
      <w:r w:rsidR="00FA2EBE" w:rsidRPr="00A22320">
        <w:rPr>
          <w:rFonts w:asciiTheme="minorHAnsi" w:hAnsiTheme="minorHAnsi" w:cs="Arial"/>
        </w:rPr>
        <w:t xml:space="preserve">je bilo manj izobraženih, med temi trije niso </w:t>
      </w:r>
      <w:r w:rsidR="00F47117" w:rsidRPr="00A22320">
        <w:rPr>
          <w:rFonts w:asciiTheme="minorHAnsi" w:hAnsiTheme="minorHAnsi" w:cs="Arial"/>
        </w:rPr>
        <w:t>dokončali</w:t>
      </w:r>
      <w:r w:rsidR="00FA2EBE" w:rsidRPr="00A22320">
        <w:rPr>
          <w:rFonts w:asciiTheme="minorHAnsi" w:hAnsiTheme="minorHAnsi" w:cs="Arial"/>
        </w:rPr>
        <w:t xml:space="preserve"> osnovnošolskega izobraževanja, trije so </w:t>
      </w:r>
      <w:r w:rsidR="00764971" w:rsidRPr="00A22320">
        <w:rPr>
          <w:rFonts w:asciiTheme="minorHAnsi" w:hAnsiTheme="minorHAnsi" w:cs="Arial"/>
        </w:rPr>
        <w:t>do</w:t>
      </w:r>
      <w:r w:rsidR="00FA2EBE" w:rsidRPr="00A22320">
        <w:rPr>
          <w:rFonts w:asciiTheme="minorHAnsi" w:hAnsiTheme="minorHAnsi" w:cs="Arial"/>
        </w:rPr>
        <w:t>končali osnovnošolsko izobraževanje (ISCED</w:t>
      </w:r>
      <w:r w:rsidR="00F47117" w:rsidRPr="00A22320">
        <w:rPr>
          <w:rFonts w:asciiTheme="minorHAnsi" w:hAnsiTheme="minorHAnsi" w:cs="Arial"/>
        </w:rPr>
        <w:t>-</w:t>
      </w:r>
      <w:r w:rsidR="00FA2EBE" w:rsidRPr="00A22320">
        <w:rPr>
          <w:rFonts w:asciiTheme="minorHAnsi" w:hAnsiTheme="minorHAnsi" w:cs="Arial"/>
        </w:rPr>
        <w:t xml:space="preserve">stopnja 2), štirje pa so </w:t>
      </w:r>
      <w:r w:rsidR="00764971" w:rsidRPr="00A22320">
        <w:rPr>
          <w:rFonts w:asciiTheme="minorHAnsi" w:hAnsiTheme="minorHAnsi" w:cs="Arial"/>
        </w:rPr>
        <w:t>dokončali</w:t>
      </w:r>
      <w:r w:rsidR="00FA2EBE" w:rsidRPr="00A22320">
        <w:rPr>
          <w:rFonts w:asciiTheme="minorHAnsi" w:hAnsiTheme="minorHAnsi" w:cs="Arial"/>
        </w:rPr>
        <w:t xml:space="preserve"> nižje srednješolsko izobraževanje (ISCED</w:t>
      </w:r>
      <w:r w:rsidR="00764971" w:rsidRPr="00A22320">
        <w:rPr>
          <w:rFonts w:asciiTheme="minorHAnsi" w:hAnsiTheme="minorHAnsi" w:cs="Arial"/>
        </w:rPr>
        <w:t>-</w:t>
      </w:r>
      <w:r w:rsidR="00F67A78" w:rsidRPr="00A22320">
        <w:rPr>
          <w:rFonts w:asciiTheme="minorHAnsi" w:hAnsiTheme="minorHAnsi" w:cs="Arial"/>
        </w:rPr>
        <w:t>stopnja 3</w:t>
      </w:r>
      <w:r w:rsidR="00FA2EBE" w:rsidRPr="00A22320">
        <w:rPr>
          <w:rFonts w:asciiTheme="minorHAnsi" w:hAnsiTheme="minorHAnsi" w:cs="Arial"/>
        </w:rPr>
        <w:t xml:space="preserve">). </w:t>
      </w:r>
      <w:r w:rsidR="00E516EA" w:rsidRPr="00A22320">
        <w:rPr>
          <w:rFonts w:asciiTheme="minorHAnsi" w:hAnsiTheme="minorHAnsi" w:cs="Arial"/>
        </w:rPr>
        <w:t>V podobnem deležu (11</w:t>
      </w:r>
      <w:r w:rsidR="00764971" w:rsidRPr="00A22320">
        <w:rPr>
          <w:rFonts w:asciiTheme="minorHAnsi" w:hAnsiTheme="minorHAnsi" w:cs="Arial"/>
        </w:rPr>
        <w:t xml:space="preserve"> </w:t>
      </w:r>
      <w:r w:rsidR="00E516EA" w:rsidRPr="00A22320">
        <w:rPr>
          <w:rFonts w:asciiTheme="minorHAnsi" w:hAnsiTheme="minorHAnsi" w:cs="Arial"/>
        </w:rPr>
        <w:t xml:space="preserve">%) so bili </w:t>
      </w:r>
      <w:r w:rsidR="00FA2EBE" w:rsidRPr="00A22320">
        <w:rPr>
          <w:rFonts w:asciiTheme="minorHAnsi" w:hAnsiTheme="minorHAnsi" w:cs="Arial"/>
        </w:rPr>
        <w:t xml:space="preserve">zastopani tudi </w:t>
      </w:r>
      <w:r w:rsidR="001B4F6E" w:rsidRPr="00A22320">
        <w:rPr>
          <w:rFonts w:asciiTheme="minorHAnsi" w:hAnsiTheme="minorHAnsi" w:cs="Arial"/>
        </w:rPr>
        <w:t>intervjuvanci</w:t>
      </w:r>
      <w:r w:rsidR="00FA2EBE" w:rsidRPr="00A22320">
        <w:rPr>
          <w:rFonts w:asciiTheme="minorHAnsi" w:hAnsiTheme="minorHAnsi" w:cs="Arial"/>
        </w:rPr>
        <w:t xml:space="preserve">, ki so </w:t>
      </w:r>
      <w:r w:rsidR="00764971" w:rsidRPr="00A22320">
        <w:rPr>
          <w:rFonts w:asciiTheme="minorHAnsi" w:hAnsiTheme="minorHAnsi" w:cs="Arial"/>
        </w:rPr>
        <w:t>do</w:t>
      </w:r>
      <w:r w:rsidR="00FA2EBE" w:rsidRPr="00A22320">
        <w:rPr>
          <w:rFonts w:asciiTheme="minorHAnsi" w:hAnsiTheme="minorHAnsi" w:cs="Arial"/>
        </w:rPr>
        <w:t>končali drugi in tretji ciklus terciarnega izobraževanja (dodiplomski in podiplomski študij, ISCED</w:t>
      </w:r>
      <w:r w:rsidR="00764971" w:rsidRPr="00A22320">
        <w:rPr>
          <w:rFonts w:asciiTheme="minorHAnsi" w:hAnsiTheme="minorHAnsi" w:cs="Arial"/>
        </w:rPr>
        <w:t>-</w:t>
      </w:r>
      <w:r w:rsidR="00F67A78" w:rsidRPr="00A22320">
        <w:rPr>
          <w:rFonts w:asciiTheme="minorHAnsi" w:hAnsiTheme="minorHAnsi" w:cs="Arial"/>
        </w:rPr>
        <w:t>stopnja 7 in 8</w:t>
      </w:r>
      <w:r w:rsidR="00770B2B" w:rsidRPr="00A22320">
        <w:rPr>
          <w:rFonts w:asciiTheme="minorHAnsi" w:hAnsiTheme="minorHAnsi" w:cs="Arial"/>
        </w:rPr>
        <w:t>).</w:t>
      </w:r>
      <w:r w:rsidR="00FA2EBE" w:rsidRPr="00A22320">
        <w:rPr>
          <w:rFonts w:asciiTheme="minorHAnsi" w:hAnsiTheme="minorHAnsi" w:cs="Arial"/>
        </w:rPr>
        <w:t xml:space="preserve"> </w:t>
      </w:r>
    </w:p>
    <w:p w:rsidR="00FA2EBE" w:rsidRPr="008D5676" w:rsidRDefault="00764971" w:rsidP="00764971">
      <w:pPr>
        <w:pStyle w:val="bodytext"/>
        <w:spacing w:before="0" w:beforeAutospacing="0" w:after="120" w:afterAutospacing="0" w:line="276" w:lineRule="auto"/>
        <w:jc w:val="both"/>
        <w:rPr>
          <w:rFonts w:asciiTheme="minorHAnsi" w:hAnsiTheme="minorHAnsi" w:cs="Arial"/>
        </w:rPr>
      </w:pPr>
      <w:r w:rsidRPr="00A22320">
        <w:rPr>
          <w:rFonts w:asciiTheme="minorHAnsi" w:hAnsiTheme="minorHAnsi" w:cs="Arial"/>
        </w:rPr>
        <w:t xml:space="preserve">Med intervjuvanci jih je bilo </w:t>
      </w:r>
      <w:r w:rsidR="00FA2EBE" w:rsidRPr="00A22320">
        <w:rPr>
          <w:rFonts w:asciiTheme="minorHAnsi" w:hAnsiTheme="minorHAnsi" w:cs="Arial"/>
        </w:rPr>
        <w:t>95</w:t>
      </w:r>
      <w:r w:rsidRPr="00A22320">
        <w:rPr>
          <w:rFonts w:asciiTheme="minorHAnsi" w:hAnsiTheme="minorHAnsi" w:cs="Arial"/>
        </w:rPr>
        <w:t xml:space="preserve"> </w:t>
      </w:r>
      <w:r w:rsidR="00FA2EBE" w:rsidRPr="00A22320">
        <w:rPr>
          <w:rFonts w:asciiTheme="minorHAnsi" w:hAnsiTheme="minorHAnsi" w:cs="Arial"/>
        </w:rPr>
        <w:t>% upokojenih, 5</w:t>
      </w:r>
      <w:r w:rsidRPr="00A22320">
        <w:rPr>
          <w:rFonts w:asciiTheme="minorHAnsi" w:hAnsiTheme="minorHAnsi" w:cs="Arial"/>
        </w:rPr>
        <w:t xml:space="preserve"> </w:t>
      </w:r>
      <w:r w:rsidR="00FA2EBE" w:rsidRPr="00A22320">
        <w:rPr>
          <w:rFonts w:asciiTheme="minorHAnsi" w:hAnsiTheme="minorHAnsi" w:cs="Arial"/>
        </w:rPr>
        <w:t xml:space="preserve">% pa jih je bilo še zaposlenih. </w:t>
      </w:r>
      <w:r w:rsidRPr="00A22320">
        <w:rPr>
          <w:rFonts w:asciiTheme="minorHAnsi" w:hAnsiTheme="minorHAnsi" w:cs="Arial"/>
        </w:rPr>
        <w:t>Tri odstotke</w:t>
      </w:r>
      <w:r w:rsidR="00FA2EBE" w:rsidRPr="00A22320">
        <w:rPr>
          <w:rFonts w:asciiTheme="minorHAnsi" w:hAnsiTheme="minorHAnsi" w:cs="Arial"/>
        </w:rPr>
        <w:t xml:space="preserve"> upokojenih </w:t>
      </w:r>
      <w:r w:rsidR="00053821" w:rsidRPr="00A22320">
        <w:rPr>
          <w:rFonts w:asciiTheme="minorHAnsi" w:hAnsiTheme="minorHAnsi" w:cs="Arial"/>
        </w:rPr>
        <w:t>intervjuvancev</w:t>
      </w:r>
      <w:r w:rsidR="00FA2EBE" w:rsidRPr="00A22320">
        <w:rPr>
          <w:rFonts w:asciiTheme="minorHAnsi" w:hAnsiTheme="minorHAnsi" w:cs="Arial"/>
        </w:rPr>
        <w:t xml:space="preserve"> je bilo še vedno registriranih kot delovno aktivnih</w:t>
      </w:r>
      <w:r w:rsidR="002705B0" w:rsidRPr="00A22320">
        <w:rPr>
          <w:rFonts w:asciiTheme="minorHAnsi" w:hAnsiTheme="minorHAnsi" w:cs="Arial"/>
        </w:rPr>
        <w:t xml:space="preserve">, saj so delovali kot </w:t>
      </w:r>
      <w:r w:rsidR="00FA2EBE" w:rsidRPr="00A22320">
        <w:rPr>
          <w:rFonts w:asciiTheme="minorHAnsi" w:hAnsiTheme="minorHAnsi" w:cs="Arial"/>
        </w:rPr>
        <w:t xml:space="preserve"> samostojni podjetniki ali pa </w:t>
      </w:r>
      <w:r w:rsidR="002705B0" w:rsidRPr="00A22320">
        <w:rPr>
          <w:rFonts w:asciiTheme="minorHAnsi" w:hAnsiTheme="minorHAnsi" w:cs="Arial"/>
        </w:rPr>
        <w:t xml:space="preserve">so </w:t>
      </w:r>
      <w:r w:rsidR="00FA2EBE" w:rsidRPr="00A22320">
        <w:rPr>
          <w:rFonts w:asciiTheme="minorHAnsi" w:hAnsiTheme="minorHAnsi" w:cs="Arial"/>
        </w:rPr>
        <w:t>opravlja</w:t>
      </w:r>
      <w:r w:rsidR="002705B0" w:rsidRPr="00A22320">
        <w:rPr>
          <w:rFonts w:asciiTheme="minorHAnsi" w:hAnsiTheme="minorHAnsi" w:cs="Arial"/>
        </w:rPr>
        <w:t>li</w:t>
      </w:r>
      <w:r w:rsidR="00FA2EBE" w:rsidRPr="00A22320">
        <w:rPr>
          <w:rFonts w:asciiTheme="minorHAnsi" w:hAnsiTheme="minorHAnsi" w:cs="Arial"/>
        </w:rPr>
        <w:t xml:space="preserve"> drugo obliko plačanega dela. </w:t>
      </w:r>
      <w:r w:rsidR="002705B0" w:rsidRPr="00A22320">
        <w:rPr>
          <w:rFonts w:asciiTheme="minorHAnsi" w:hAnsiTheme="minorHAnsi" w:cs="Arial"/>
        </w:rPr>
        <w:t>V</w:t>
      </w:r>
      <w:r w:rsidR="00FA2EBE" w:rsidRPr="00A22320">
        <w:rPr>
          <w:rFonts w:asciiTheme="minorHAnsi" w:hAnsiTheme="minorHAnsi" w:cs="Arial"/>
        </w:rPr>
        <w:t xml:space="preserve">ečina </w:t>
      </w:r>
      <w:r w:rsidR="00BF67C6" w:rsidRPr="00A22320">
        <w:rPr>
          <w:rFonts w:asciiTheme="minorHAnsi" w:hAnsiTheme="minorHAnsi" w:cs="Arial"/>
        </w:rPr>
        <w:t>intervjuvancev</w:t>
      </w:r>
      <w:r w:rsidR="00FA2EBE" w:rsidRPr="00A22320">
        <w:rPr>
          <w:rFonts w:asciiTheme="minorHAnsi" w:hAnsiTheme="minorHAnsi" w:cs="Arial"/>
        </w:rPr>
        <w:t xml:space="preserve"> je bila poročena ali v </w:t>
      </w:r>
      <w:r w:rsidR="002705B0" w:rsidRPr="00A22320">
        <w:rPr>
          <w:rFonts w:asciiTheme="minorHAnsi" w:hAnsiTheme="minorHAnsi" w:cs="Arial"/>
        </w:rPr>
        <w:t xml:space="preserve">partnerskem </w:t>
      </w:r>
      <w:r w:rsidR="00FA2EBE" w:rsidRPr="00A22320">
        <w:rPr>
          <w:rFonts w:asciiTheme="minorHAnsi" w:hAnsiTheme="minorHAnsi" w:cs="Arial"/>
        </w:rPr>
        <w:t>razmerju (79</w:t>
      </w:r>
      <w:r w:rsidRPr="00A22320">
        <w:rPr>
          <w:rFonts w:asciiTheme="minorHAnsi" w:hAnsiTheme="minorHAnsi" w:cs="Arial"/>
        </w:rPr>
        <w:t xml:space="preserve"> </w:t>
      </w:r>
      <w:r w:rsidR="00FA2EBE" w:rsidRPr="00A22320">
        <w:rPr>
          <w:rFonts w:asciiTheme="minorHAnsi" w:hAnsiTheme="minorHAnsi" w:cs="Arial"/>
        </w:rPr>
        <w:t>%), 15</w:t>
      </w:r>
      <w:r w:rsidRPr="00A22320">
        <w:rPr>
          <w:rFonts w:asciiTheme="minorHAnsi" w:hAnsiTheme="minorHAnsi" w:cs="Arial"/>
        </w:rPr>
        <w:t xml:space="preserve"> </w:t>
      </w:r>
      <w:r w:rsidR="00FA2EBE" w:rsidRPr="00A22320">
        <w:rPr>
          <w:rFonts w:asciiTheme="minorHAnsi" w:hAnsiTheme="minorHAnsi" w:cs="Arial"/>
        </w:rPr>
        <w:t>% j</w:t>
      </w:r>
      <w:r w:rsidR="00214691" w:rsidRPr="00A22320">
        <w:rPr>
          <w:rFonts w:asciiTheme="minorHAnsi" w:hAnsiTheme="minorHAnsi" w:cs="Arial"/>
        </w:rPr>
        <w:t xml:space="preserve">e bilo vdovcev, </w:t>
      </w:r>
      <w:r w:rsidRPr="00A22320">
        <w:rPr>
          <w:rFonts w:asciiTheme="minorHAnsi" w:hAnsiTheme="minorHAnsi" w:cs="Arial"/>
        </w:rPr>
        <w:t xml:space="preserve">pet </w:t>
      </w:r>
      <w:r w:rsidR="00214691" w:rsidRPr="00A22320">
        <w:rPr>
          <w:rFonts w:asciiTheme="minorHAnsi" w:hAnsiTheme="minorHAnsi" w:cs="Arial"/>
        </w:rPr>
        <w:t xml:space="preserve">med vsemi intervjuvanci pa je bilo </w:t>
      </w:r>
      <w:r w:rsidR="00FA2EBE" w:rsidRPr="00A22320">
        <w:rPr>
          <w:rFonts w:asciiTheme="minorHAnsi" w:hAnsiTheme="minorHAnsi" w:cs="Arial"/>
        </w:rPr>
        <w:t>samskih ali ločenih.</w:t>
      </w:r>
    </w:p>
    <w:p w:rsidR="004B33EF" w:rsidRPr="008D5676" w:rsidRDefault="004B33EF" w:rsidP="00FA5C91">
      <w:pPr>
        <w:autoSpaceDE w:val="0"/>
        <w:autoSpaceDN w:val="0"/>
        <w:adjustRightInd w:val="0"/>
        <w:spacing w:after="120" w:line="276" w:lineRule="auto"/>
        <w:jc w:val="both"/>
        <w:rPr>
          <w:rFonts w:cs="Arial"/>
          <w:color w:val="auto"/>
          <w:sz w:val="24"/>
          <w:szCs w:val="24"/>
        </w:rPr>
      </w:pPr>
      <w:r w:rsidRPr="008D5676">
        <w:rPr>
          <w:rFonts w:cs="Times New Roman"/>
          <w:b/>
          <w:color w:val="auto"/>
          <w:sz w:val="24"/>
          <w:szCs w:val="24"/>
        </w:rPr>
        <w:t>Četrtna skupnost Ljubljana</w:t>
      </w:r>
      <w:r w:rsidR="00764971" w:rsidRPr="00A22320">
        <w:rPr>
          <w:rFonts w:cs="Times New Roman"/>
          <w:b/>
          <w:color w:val="auto"/>
          <w:sz w:val="24"/>
          <w:szCs w:val="24"/>
        </w:rPr>
        <w:t xml:space="preserve"> </w:t>
      </w:r>
      <w:r w:rsidRPr="008D5676">
        <w:rPr>
          <w:rFonts w:cs="Times New Roman"/>
          <w:b/>
          <w:color w:val="auto"/>
          <w:sz w:val="24"/>
          <w:szCs w:val="24"/>
        </w:rPr>
        <w:t>Bežigrad</w:t>
      </w:r>
      <w:r w:rsidRPr="008D5676">
        <w:rPr>
          <w:rFonts w:cs="Times New Roman"/>
          <w:color w:val="auto"/>
          <w:sz w:val="24"/>
          <w:szCs w:val="24"/>
        </w:rPr>
        <w:t xml:space="preserve"> je glede na BDP na prebivalca najbogatejša četrtna skupnost v prestolnici Slovenije</w:t>
      </w:r>
      <w:r w:rsidR="005E642C" w:rsidRPr="008D5676">
        <w:rPr>
          <w:rFonts w:cs="Times New Roman"/>
          <w:color w:val="auto"/>
          <w:sz w:val="24"/>
          <w:szCs w:val="24"/>
        </w:rPr>
        <w:t xml:space="preserve">. Umeščena je v </w:t>
      </w:r>
      <w:r w:rsidRPr="008D5676">
        <w:rPr>
          <w:rFonts w:cs="Times New Roman"/>
          <w:color w:val="auto"/>
          <w:sz w:val="24"/>
          <w:szCs w:val="24"/>
        </w:rPr>
        <w:t>regi</w:t>
      </w:r>
      <w:r w:rsidR="005E642C" w:rsidRPr="008D5676">
        <w:rPr>
          <w:rFonts w:cs="Times New Roman"/>
          <w:color w:val="auto"/>
          <w:sz w:val="24"/>
          <w:szCs w:val="24"/>
        </w:rPr>
        <w:t>jo</w:t>
      </w:r>
      <w:r w:rsidRPr="008D5676">
        <w:rPr>
          <w:rFonts w:cs="Times New Roman"/>
          <w:color w:val="auto"/>
          <w:sz w:val="24"/>
          <w:szCs w:val="24"/>
        </w:rPr>
        <w:t xml:space="preserve"> z najvišjim mesečnim povprečnim dohodkom na prebivalca (1099 </w:t>
      </w:r>
      <w:r w:rsidR="00764971" w:rsidRPr="00A22320">
        <w:rPr>
          <w:rFonts w:cs="Times New Roman"/>
          <w:color w:val="auto"/>
          <w:sz w:val="24"/>
          <w:szCs w:val="24"/>
        </w:rPr>
        <w:t>evrov</w:t>
      </w:r>
      <w:r w:rsidRPr="008D5676">
        <w:rPr>
          <w:rFonts w:cs="Times New Roman"/>
          <w:color w:val="auto"/>
          <w:sz w:val="24"/>
          <w:szCs w:val="24"/>
        </w:rPr>
        <w:t xml:space="preserve"> v letu 2015) in z najnižjo stopnjo tvega</w:t>
      </w:r>
      <w:r w:rsidR="005E642C" w:rsidRPr="008D5676">
        <w:rPr>
          <w:rFonts w:cs="Times New Roman"/>
          <w:color w:val="auto"/>
          <w:sz w:val="24"/>
          <w:szCs w:val="24"/>
        </w:rPr>
        <w:t>nja revščine (11,8) (SURS, 2017</w:t>
      </w:r>
      <w:r w:rsidRPr="008D5676">
        <w:rPr>
          <w:rFonts w:cs="Times New Roman"/>
          <w:color w:val="auto"/>
          <w:sz w:val="24"/>
          <w:szCs w:val="24"/>
        </w:rPr>
        <w:t xml:space="preserve">). </w:t>
      </w:r>
      <w:r w:rsidR="005E642C" w:rsidRPr="008D5676">
        <w:rPr>
          <w:rFonts w:cs="Times New Roman"/>
          <w:color w:val="auto"/>
          <w:sz w:val="24"/>
          <w:szCs w:val="24"/>
        </w:rPr>
        <w:t>S</w:t>
      </w:r>
      <w:r w:rsidRPr="008D5676">
        <w:rPr>
          <w:rFonts w:cs="Times New Roman"/>
          <w:color w:val="auto"/>
          <w:sz w:val="24"/>
          <w:szCs w:val="24"/>
        </w:rPr>
        <w:t xml:space="preserve"> štirimi univerzitetnimi fakultetami in največjim športnim centrom (Stožice) ima ugodno infrastrukturo in </w:t>
      </w:r>
      <w:r w:rsidR="00764971" w:rsidRPr="00A22320">
        <w:rPr>
          <w:rFonts w:cs="Times New Roman"/>
          <w:color w:val="auto"/>
          <w:sz w:val="24"/>
          <w:szCs w:val="24"/>
        </w:rPr>
        <w:t>ponuja</w:t>
      </w:r>
      <w:r w:rsidR="00D30083" w:rsidRPr="008D5676">
        <w:rPr>
          <w:rFonts w:cs="Times New Roman"/>
          <w:color w:val="auto"/>
          <w:sz w:val="24"/>
          <w:szCs w:val="24"/>
        </w:rPr>
        <w:t xml:space="preserve"> </w:t>
      </w:r>
      <w:r w:rsidRPr="008D5676">
        <w:rPr>
          <w:rFonts w:cs="Times New Roman"/>
          <w:color w:val="auto"/>
          <w:sz w:val="24"/>
          <w:szCs w:val="24"/>
        </w:rPr>
        <w:t>veliko priložnosti za kulturno, intelektualno, š</w:t>
      </w:r>
      <w:r w:rsidR="005E642C" w:rsidRPr="008D5676">
        <w:rPr>
          <w:rFonts w:cs="Times New Roman"/>
          <w:color w:val="auto"/>
          <w:sz w:val="24"/>
          <w:szCs w:val="24"/>
        </w:rPr>
        <w:t>portno, družbeno, skupnostno idr.</w:t>
      </w:r>
      <w:r w:rsidRPr="008D5676">
        <w:rPr>
          <w:rFonts w:cs="Times New Roman"/>
          <w:color w:val="auto"/>
          <w:sz w:val="24"/>
          <w:szCs w:val="24"/>
        </w:rPr>
        <w:t xml:space="preserve"> udejstvovanje. Kljub vsem </w:t>
      </w:r>
      <w:r w:rsidR="005E642C" w:rsidRPr="008D5676">
        <w:rPr>
          <w:rFonts w:cs="Times New Roman"/>
          <w:color w:val="auto"/>
          <w:sz w:val="24"/>
          <w:szCs w:val="24"/>
        </w:rPr>
        <w:t xml:space="preserve">prednostim pa </w:t>
      </w:r>
      <w:r w:rsidR="00D30083" w:rsidRPr="008D5676">
        <w:rPr>
          <w:rFonts w:cs="Times New Roman"/>
          <w:color w:val="auto"/>
          <w:sz w:val="24"/>
          <w:szCs w:val="24"/>
        </w:rPr>
        <w:t xml:space="preserve">se glede na različne raziskave ocenjuje, da se </w:t>
      </w:r>
      <w:r w:rsidRPr="008D5676">
        <w:rPr>
          <w:rFonts w:cs="Times New Roman"/>
          <w:color w:val="auto"/>
          <w:sz w:val="24"/>
          <w:szCs w:val="24"/>
        </w:rPr>
        <w:t>več kot 10</w:t>
      </w:r>
      <w:r w:rsidR="00764971" w:rsidRPr="00A22320">
        <w:rPr>
          <w:rFonts w:cs="Times New Roman"/>
          <w:color w:val="auto"/>
          <w:sz w:val="24"/>
          <w:szCs w:val="24"/>
        </w:rPr>
        <w:t xml:space="preserve"> </w:t>
      </w:r>
      <w:r w:rsidRPr="008D5676">
        <w:rPr>
          <w:rFonts w:cs="Times New Roman"/>
          <w:color w:val="auto"/>
          <w:sz w:val="24"/>
          <w:szCs w:val="24"/>
        </w:rPr>
        <w:t xml:space="preserve">% prebivalcev </w:t>
      </w:r>
      <w:r w:rsidR="005E642C" w:rsidRPr="008D5676">
        <w:rPr>
          <w:rFonts w:cs="Times New Roman"/>
          <w:color w:val="auto"/>
          <w:sz w:val="24"/>
          <w:szCs w:val="24"/>
        </w:rPr>
        <w:t xml:space="preserve">te četrti sooča z revščino. Revščina tu ni mišljenja v smislu </w:t>
      </w:r>
      <w:r w:rsidR="00FF4036" w:rsidRPr="008D5676">
        <w:rPr>
          <w:rFonts w:cs="Times New Roman"/>
          <w:color w:val="auto"/>
          <w:sz w:val="24"/>
          <w:szCs w:val="24"/>
        </w:rPr>
        <w:t xml:space="preserve">golega </w:t>
      </w:r>
      <w:r w:rsidR="005E642C" w:rsidRPr="008D5676">
        <w:rPr>
          <w:rFonts w:cs="Times New Roman"/>
          <w:color w:val="auto"/>
          <w:sz w:val="24"/>
          <w:szCs w:val="24"/>
        </w:rPr>
        <w:t>preživ</w:t>
      </w:r>
      <w:r w:rsidR="00FF4036" w:rsidRPr="008D5676">
        <w:rPr>
          <w:rFonts w:cs="Times New Roman"/>
          <w:color w:val="auto"/>
          <w:sz w:val="24"/>
          <w:szCs w:val="24"/>
        </w:rPr>
        <w:t xml:space="preserve">etja, </w:t>
      </w:r>
      <w:r w:rsidR="00764971" w:rsidRPr="00A22320">
        <w:rPr>
          <w:rFonts w:cs="Times New Roman"/>
          <w:color w:val="auto"/>
          <w:sz w:val="24"/>
          <w:szCs w:val="24"/>
        </w:rPr>
        <w:t>temveč</w:t>
      </w:r>
      <w:r w:rsidR="00FF4036" w:rsidRPr="008D5676">
        <w:rPr>
          <w:rFonts w:cs="Times New Roman"/>
          <w:color w:val="auto"/>
          <w:sz w:val="24"/>
          <w:szCs w:val="24"/>
        </w:rPr>
        <w:t xml:space="preserve"> bolj v smislu</w:t>
      </w:r>
      <w:r w:rsidR="005E642C" w:rsidRPr="008D5676">
        <w:rPr>
          <w:rFonts w:cs="Times New Roman"/>
          <w:color w:val="auto"/>
          <w:sz w:val="24"/>
          <w:szCs w:val="24"/>
        </w:rPr>
        <w:t xml:space="preserve"> životarjenja: </w:t>
      </w:r>
      <w:r w:rsidR="006553D8" w:rsidRPr="008D5676">
        <w:rPr>
          <w:rFonts w:cs="Times New Roman"/>
          <w:color w:val="auto"/>
          <w:sz w:val="24"/>
          <w:szCs w:val="24"/>
        </w:rPr>
        <w:t>revni ljudje v Četrtni skupnosti Lj</w:t>
      </w:r>
      <w:r w:rsidR="00764971" w:rsidRPr="00A22320">
        <w:rPr>
          <w:rFonts w:cs="Times New Roman"/>
          <w:color w:val="auto"/>
          <w:sz w:val="24"/>
          <w:szCs w:val="24"/>
        </w:rPr>
        <w:t xml:space="preserve">ubljana </w:t>
      </w:r>
      <w:r w:rsidR="006553D8" w:rsidRPr="008D5676">
        <w:rPr>
          <w:rFonts w:cs="Times New Roman"/>
          <w:color w:val="auto"/>
          <w:sz w:val="24"/>
          <w:szCs w:val="24"/>
        </w:rPr>
        <w:t xml:space="preserve">Bežigrad </w:t>
      </w:r>
      <w:r w:rsidR="00CD2542" w:rsidRPr="008D5676">
        <w:rPr>
          <w:rFonts w:cs="Times New Roman"/>
          <w:color w:val="auto"/>
          <w:sz w:val="24"/>
          <w:szCs w:val="24"/>
        </w:rPr>
        <w:t>živijo</w:t>
      </w:r>
      <w:r w:rsidRPr="008D5676">
        <w:rPr>
          <w:rFonts w:cs="Times New Roman"/>
          <w:color w:val="auto"/>
          <w:sz w:val="24"/>
          <w:szCs w:val="24"/>
        </w:rPr>
        <w:t xml:space="preserve"> </w:t>
      </w:r>
      <w:r w:rsidR="00CD2542" w:rsidRPr="008D5676">
        <w:rPr>
          <w:rFonts w:cs="Times New Roman"/>
          <w:color w:val="auto"/>
          <w:sz w:val="24"/>
          <w:szCs w:val="24"/>
        </w:rPr>
        <w:t>s pomočjo družinske in medsosedske pomoči, a s</w:t>
      </w:r>
      <w:r w:rsidRPr="008D5676">
        <w:rPr>
          <w:rFonts w:cs="Times New Roman"/>
          <w:color w:val="auto"/>
          <w:sz w:val="24"/>
          <w:szCs w:val="24"/>
        </w:rPr>
        <w:t xml:space="preserve">i </w:t>
      </w:r>
      <w:r w:rsidR="005E642C" w:rsidRPr="008D5676">
        <w:rPr>
          <w:rFonts w:cs="Times New Roman"/>
          <w:color w:val="auto"/>
          <w:sz w:val="24"/>
          <w:szCs w:val="24"/>
        </w:rPr>
        <w:t xml:space="preserve">veliko več kot hrane in golega življenja ne morejo privoščiti, zlasti </w:t>
      </w:r>
      <w:r w:rsidR="00CD2542" w:rsidRPr="008D5676">
        <w:rPr>
          <w:rFonts w:cs="Times New Roman"/>
          <w:color w:val="auto"/>
          <w:sz w:val="24"/>
          <w:szCs w:val="24"/>
        </w:rPr>
        <w:t xml:space="preserve">pa </w:t>
      </w:r>
      <w:r w:rsidR="005E642C" w:rsidRPr="008D5676">
        <w:rPr>
          <w:rFonts w:cs="Times New Roman"/>
          <w:color w:val="auto"/>
          <w:sz w:val="24"/>
          <w:szCs w:val="24"/>
        </w:rPr>
        <w:t>ne novih kulturnih</w:t>
      </w:r>
      <w:r w:rsidRPr="008D5676">
        <w:rPr>
          <w:rFonts w:cs="Times New Roman"/>
          <w:color w:val="auto"/>
          <w:sz w:val="24"/>
          <w:szCs w:val="24"/>
        </w:rPr>
        <w:t xml:space="preserve"> in intelektualn</w:t>
      </w:r>
      <w:r w:rsidR="005E642C" w:rsidRPr="008D5676">
        <w:rPr>
          <w:rFonts w:cs="Times New Roman"/>
          <w:color w:val="auto"/>
          <w:sz w:val="24"/>
          <w:szCs w:val="24"/>
        </w:rPr>
        <w:t>ih</w:t>
      </w:r>
      <w:r w:rsidRPr="008D5676">
        <w:rPr>
          <w:rFonts w:cs="Times New Roman"/>
          <w:color w:val="auto"/>
          <w:sz w:val="24"/>
          <w:szCs w:val="24"/>
        </w:rPr>
        <w:t xml:space="preserve"> izkuš</w:t>
      </w:r>
      <w:r w:rsidR="00357BEC" w:rsidRPr="008D5676">
        <w:rPr>
          <w:rFonts w:cs="Times New Roman"/>
          <w:color w:val="auto"/>
          <w:sz w:val="24"/>
          <w:szCs w:val="24"/>
        </w:rPr>
        <w:t>e</w:t>
      </w:r>
      <w:r w:rsidRPr="008D5676">
        <w:rPr>
          <w:rFonts w:cs="Times New Roman"/>
          <w:color w:val="auto"/>
          <w:sz w:val="24"/>
          <w:szCs w:val="24"/>
        </w:rPr>
        <w:t>nj, potovanj ali druženj</w:t>
      </w:r>
      <w:r w:rsidR="005E642C" w:rsidRPr="008D5676">
        <w:rPr>
          <w:rFonts w:cs="Times New Roman"/>
          <w:color w:val="auto"/>
          <w:sz w:val="24"/>
          <w:szCs w:val="24"/>
        </w:rPr>
        <w:t>a</w:t>
      </w:r>
      <w:r w:rsidRPr="008D5676">
        <w:rPr>
          <w:rFonts w:cs="Times New Roman"/>
          <w:color w:val="auto"/>
          <w:sz w:val="24"/>
          <w:szCs w:val="24"/>
        </w:rPr>
        <w:t xml:space="preserve"> zunaj doma</w:t>
      </w:r>
      <w:r w:rsidR="00CD2542" w:rsidRPr="008D5676">
        <w:rPr>
          <w:rFonts w:cs="Times New Roman"/>
          <w:color w:val="auto"/>
          <w:sz w:val="24"/>
          <w:szCs w:val="24"/>
        </w:rPr>
        <w:t xml:space="preserve">, četudi živijo v okolju, kjer se ponuja veliko takšnih možnosti. </w:t>
      </w:r>
      <w:r w:rsidR="000F668C" w:rsidRPr="008D5676">
        <w:rPr>
          <w:rFonts w:cs="Arial"/>
          <w:color w:val="auto"/>
          <w:sz w:val="24"/>
          <w:szCs w:val="24"/>
        </w:rPr>
        <w:t xml:space="preserve">Ker v </w:t>
      </w:r>
      <w:r w:rsidR="00764971" w:rsidRPr="00A22320">
        <w:rPr>
          <w:rFonts w:cs="Arial"/>
          <w:color w:val="auto"/>
          <w:sz w:val="24"/>
          <w:szCs w:val="24"/>
        </w:rPr>
        <w:t>Č</w:t>
      </w:r>
      <w:r w:rsidR="000F668C" w:rsidRPr="008D5676">
        <w:rPr>
          <w:rFonts w:cs="Arial"/>
          <w:color w:val="auto"/>
          <w:sz w:val="24"/>
          <w:szCs w:val="24"/>
        </w:rPr>
        <w:t xml:space="preserve">etrtni skupnosti </w:t>
      </w:r>
      <w:r w:rsidR="00120720" w:rsidRPr="008D5676">
        <w:rPr>
          <w:rFonts w:cs="Arial"/>
          <w:color w:val="auto"/>
          <w:sz w:val="24"/>
          <w:szCs w:val="24"/>
        </w:rPr>
        <w:t>L</w:t>
      </w:r>
      <w:r w:rsidR="00764971" w:rsidRPr="00A22320">
        <w:rPr>
          <w:rFonts w:cs="Arial"/>
          <w:color w:val="auto"/>
          <w:sz w:val="24"/>
          <w:szCs w:val="24"/>
        </w:rPr>
        <w:t xml:space="preserve">jubljana </w:t>
      </w:r>
      <w:r w:rsidRPr="008D5676">
        <w:rPr>
          <w:rFonts w:cs="Arial"/>
          <w:color w:val="auto"/>
          <w:sz w:val="24"/>
          <w:szCs w:val="24"/>
        </w:rPr>
        <w:t xml:space="preserve">Bežigrad večinoma živijo ljudje, ki so se </w:t>
      </w:r>
      <w:r w:rsidR="00FA5C91" w:rsidRPr="00A22320">
        <w:rPr>
          <w:rFonts w:cs="Arial"/>
          <w:color w:val="auto"/>
          <w:sz w:val="24"/>
          <w:szCs w:val="24"/>
        </w:rPr>
        <w:t xml:space="preserve">v </w:t>
      </w:r>
      <w:r w:rsidR="00764971" w:rsidRPr="00A22320">
        <w:rPr>
          <w:rFonts w:cs="Arial"/>
          <w:color w:val="auto"/>
          <w:sz w:val="24"/>
          <w:szCs w:val="24"/>
        </w:rPr>
        <w:t xml:space="preserve">času delovno aktivnega življenja </w:t>
      </w:r>
      <w:r w:rsidRPr="008D5676">
        <w:rPr>
          <w:rFonts w:cs="Arial"/>
          <w:color w:val="auto"/>
          <w:sz w:val="24"/>
          <w:szCs w:val="24"/>
        </w:rPr>
        <w:t xml:space="preserve">v Ljubljano preselili iz </w:t>
      </w:r>
      <w:r w:rsidR="003308ED" w:rsidRPr="008D5676">
        <w:rPr>
          <w:rFonts w:cs="Arial"/>
          <w:color w:val="auto"/>
          <w:sz w:val="24"/>
          <w:szCs w:val="24"/>
        </w:rPr>
        <w:t>drugih delov</w:t>
      </w:r>
      <w:r w:rsidRPr="008D5676">
        <w:rPr>
          <w:rFonts w:cs="Arial"/>
          <w:color w:val="auto"/>
          <w:sz w:val="24"/>
          <w:szCs w:val="24"/>
        </w:rPr>
        <w:t xml:space="preserve"> Slovenije</w:t>
      </w:r>
      <w:r w:rsidR="00764971" w:rsidRPr="00A22320">
        <w:rPr>
          <w:rFonts w:cs="Arial"/>
          <w:color w:val="auto"/>
          <w:sz w:val="24"/>
          <w:szCs w:val="24"/>
        </w:rPr>
        <w:t>,</w:t>
      </w:r>
      <w:r w:rsidRPr="008D5676">
        <w:rPr>
          <w:rFonts w:cs="Arial"/>
          <w:color w:val="auto"/>
          <w:sz w:val="24"/>
          <w:szCs w:val="24"/>
        </w:rPr>
        <w:t xml:space="preserve"> </w:t>
      </w:r>
      <w:r w:rsidR="00FA5C91" w:rsidRPr="00A22320">
        <w:rPr>
          <w:rFonts w:cs="Arial"/>
          <w:color w:val="auto"/>
          <w:sz w:val="24"/>
          <w:szCs w:val="24"/>
        </w:rPr>
        <w:t xml:space="preserve">je </w:t>
      </w:r>
      <w:r w:rsidRPr="008D5676">
        <w:rPr>
          <w:rFonts w:cs="Arial"/>
          <w:color w:val="auto"/>
          <w:sz w:val="24"/>
          <w:szCs w:val="24"/>
        </w:rPr>
        <w:t>bila njihova identifikacija s krajevno skupnostjo in sosesko relativno nizka, navezanost na kraj rojstva</w:t>
      </w:r>
      <w:r w:rsidR="003250DD" w:rsidRPr="008D5676">
        <w:rPr>
          <w:rFonts w:cs="Arial"/>
          <w:color w:val="auto"/>
          <w:sz w:val="24"/>
          <w:szCs w:val="24"/>
        </w:rPr>
        <w:t>, četudi so ga zapustili pred 40 ali več leti,</w:t>
      </w:r>
      <w:r w:rsidRPr="008D5676">
        <w:rPr>
          <w:rFonts w:cs="Arial"/>
          <w:color w:val="auto"/>
          <w:sz w:val="24"/>
          <w:szCs w:val="24"/>
        </w:rPr>
        <w:t xml:space="preserve"> pa še vedno </w:t>
      </w:r>
      <w:r w:rsidR="00764971" w:rsidRPr="00A22320">
        <w:rPr>
          <w:rFonts w:cs="Arial"/>
          <w:color w:val="auto"/>
          <w:sz w:val="24"/>
          <w:szCs w:val="24"/>
        </w:rPr>
        <w:t>globo</w:t>
      </w:r>
      <w:r w:rsidRPr="008D5676">
        <w:rPr>
          <w:rFonts w:cs="Arial"/>
          <w:color w:val="auto"/>
          <w:sz w:val="24"/>
          <w:szCs w:val="24"/>
        </w:rPr>
        <w:t>ka. Posledično se je kazala tudi izjemno visoka osamljenost in ali</w:t>
      </w:r>
      <w:r w:rsidR="00357BEC" w:rsidRPr="008D5676">
        <w:rPr>
          <w:rFonts w:cs="Arial"/>
          <w:color w:val="auto"/>
          <w:sz w:val="24"/>
          <w:szCs w:val="24"/>
        </w:rPr>
        <w:t>e</w:t>
      </w:r>
      <w:r w:rsidRPr="008D5676">
        <w:rPr>
          <w:rFonts w:cs="Arial"/>
          <w:color w:val="auto"/>
          <w:sz w:val="24"/>
          <w:szCs w:val="24"/>
        </w:rPr>
        <w:t>niranost starejših</w:t>
      </w:r>
      <w:r w:rsidR="00120720" w:rsidRPr="008D5676">
        <w:rPr>
          <w:rFonts w:cs="Arial"/>
          <w:color w:val="auto"/>
          <w:sz w:val="24"/>
          <w:szCs w:val="24"/>
        </w:rPr>
        <w:t xml:space="preserve"> </w:t>
      </w:r>
      <w:r w:rsidR="00D41502" w:rsidRPr="008D5676">
        <w:rPr>
          <w:rFonts w:cs="Arial"/>
          <w:color w:val="auto"/>
          <w:sz w:val="24"/>
          <w:szCs w:val="24"/>
        </w:rPr>
        <w:t xml:space="preserve">odraslih. </w:t>
      </w:r>
      <w:r w:rsidR="00E266E9" w:rsidRPr="008D5676">
        <w:rPr>
          <w:rFonts w:cs="Arial"/>
          <w:color w:val="auto"/>
          <w:sz w:val="24"/>
          <w:szCs w:val="24"/>
        </w:rPr>
        <w:lastRenderedPageBreak/>
        <w:t>D</w:t>
      </w:r>
      <w:r w:rsidRPr="008D5676">
        <w:rPr>
          <w:rFonts w:cs="Arial"/>
          <w:color w:val="auto"/>
          <w:sz w:val="24"/>
          <w:szCs w:val="24"/>
        </w:rPr>
        <w:t xml:space="preserve">elež starejših, ki so </w:t>
      </w:r>
      <w:r w:rsidR="00764971" w:rsidRPr="00A22320">
        <w:rPr>
          <w:rFonts w:cs="Arial"/>
          <w:color w:val="auto"/>
          <w:sz w:val="24"/>
          <w:szCs w:val="24"/>
        </w:rPr>
        <w:t xml:space="preserve">obravnavani </w:t>
      </w:r>
      <w:r w:rsidR="00D41502" w:rsidRPr="008D5676">
        <w:rPr>
          <w:rFonts w:cs="Arial"/>
          <w:color w:val="auto"/>
          <w:sz w:val="24"/>
          <w:szCs w:val="24"/>
        </w:rPr>
        <w:t>kot osebe pod skrbništvom</w:t>
      </w:r>
      <w:r w:rsidR="00764971" w:rsidRPr="00A22320">
        <w:rPr>
          <w:rFonts w:cs="Arial"/>
          <w:color w:val="auto"/>
          <w:sz w:val="24"/>
          <w:szCs w:val="24"/>
        </w:rPr>
        <w:t>,</w:t>
      </w:r>
      <w:r w:rsidR="00D41502" w:rsidRPr="008D5676">
        <w:rPr>
          <w:rFonts w:cs="Arial"/>
          <w:color w:val="auto"/>
          <w:sz w:val="24"/>
          <w:szCs w:val="24"/>
        </w:rPr>
        <w:t xml:space="preserve"> se je </w:t>
      </w:r>
      <w:r w:rsidRPr="008D5676">
        <w:rPr>
          <w:rFonts w:cs="Arial"/>
          <w:color w:val="auto"/>
          <w:sz w:val="24"/>
          <w:szCs w:val="24"/>
        </w:rPr>
        <w:t xml:space="preserve">od leta 2010, ko je bilo 56 takih oseb, </w:t>
      </w:r>
      <w:r w:rsidR="00FA5C91" w:rsidRPr="00A22320">
        <w:rPr>
          <w:rFonts w:cs="Arial"/>
          <w:color w:val="auto"/>
          <w:sz w:val="24"/>
          <w:szCs w:val="24"/>
        </w:rPr>
        <w:t xml:space="preserve">v letu 2017 </w:t>
      </w:r>
      <w:r w:rsidR="00D41502" w:rsidRPr="008D5676">
        <w:rPr>
          <w:rFonts w:cs="Arial"/>
          <w:color w:val="auto"/>
          <w:sz w:val="24"/>
          <w:szCs w:val="24"/>
        </w:rPr>
        <w:t>povečal</w:t>
      </w:r>
      <w:r w:rsidRPr="008D5676">
        <w:rPr>
          <w:rFonts w:cs="Arial"/>
          <w:color w:val="auto"/>
          <w:sz w:val="24"/>
          <w:szCs w:val="24"/>
        </w:rPr>
        <w:t xml:space="preserve"> na 106 (CSD, 2018).</w:t>
      </w:r>
    </w:p>
    <w:p w:rsidR="00DE7FB6" w:rsidRPr="008D5676" w:rsidRDefault="00F60CD1" w:rsidP="003B79E6">
      <w:pPr>
        <w:spacing w:after="120" w:line="276" w:lineRule="auto"/>
        <w:jc w:val="both"/>
        <w:rPr>
          <w:rFonts w:cs="Arial"/>
          <w:color w:val="auto"/>
          <w:sz w:val="24"/>
          <w:szCs w:val="24"/>
        </w:rPr>
      </w:pPr>
      <w:r w:rsidRPr="008D5676">
        <w:rPr>
          <w:rFonts w:cs="Arial"/>
          <w:b/>
          <w:color w:val="auto"/>
          <w:sz w:val="24"/>
          <w:szCs w:val="24"/>
        </w:rPr>
        <w:t>Občina Ajdovščina</w:t>
      </w:r>
      <w:r w:rsidRPr="008D5676">
        <w:rPr>
          <w:rFonts w:cs="Arial"/>
          <w:color w:val="auto"/>
          <w:sz w:val="24"/>
          <w:szCs w:val="24"/>
        </w:rPr>
        <w:t xml:space="preserve"> leži v zahodni Sloveniji, v </w:t>
      </w:r>
      <w:r w:rsidR="00764971" w:rsidRPr="00A22320">
        <w:rPr>
          <w:rFonts w:cs="Arial"/>
          <w:color w:val="auto"/>
          <w:sz w:val="24"/>
          <w:szCs w:val="24"/>
        </w:rPr>
        <w:t>G</w:t>
      </w:r>
      <w:r w:rsidRPr="008D5676">
        <w:rPr>
          <w:rFonts w:cs="Arial"/>
          <w:color w:val="auto"/>
          <w:sz w:val="24"/>
          <w:szCs w:val="24"/>
        </w:rPr>
        <w:t xml:space="preserve">oriški regiji. V zadnjih 30 letih sta </w:t>
      </w:r>
      <w:r w:rsidR="006A6C1F" w:rsidRPr="008D5676">
        <w:rPr>
          <w:rFonts w:cs="Arial"/>
          <w:color w:val="auto"/>
          <w:sz w:val="24"/>
          <w:szCs w:val="24"/>
        </w:rPr>
        <w:t>jo</w:t>
      </w:r>
      <w:r w:rsidRPr="008D5676">
        <w:rPr>
          <w:rFonts w:cs="Arial"/>
          <w:color w:val="auto"/>
          <w:sz w:val="24"/>
          <w:szCs w:val="24"/>
        </w:rPr>
        <w:t xml:space="preserve"> močno pretresli </w:t>
      </w:r>
      <w:r w:rsidR="006A6C1F" w:rsidRPr="008D5676">
        <w:rPr>
          <w:rFonts w:cs="Arial"/>
          <w:color w:val="auto"/>
          <w:sz w:val="24"/>
          <w:szCs w:val="24"/>
        </w:rPr>
        <w:t xml:space="preserve">predvsem </w:t>
      </w:r>
      <w:r w:rsidR="00A75D63" w:rsidRPr="008D5676">
        <w:rPr>
          <w:rFonts w:cs="Arial"/>
          <w:color w:val="auto"/>
          <w:sz w:val="24"/>
          <w:szCs w:val="24"/>
        </w:rPr>
        <w:t>dve gospodarski krizi</w:t>
      </w:r>
      <w:r w:rsidRPr="008D5676">
        <w:rPr>
          <w:rFonts w:cs="Arial"/>
          <w:color w:val="auto"/>
          <w:sz w:val="24"/>
          <w:szCs w:val="24"/>
        </w:rPr>
        <w:t xml:space="preserve">. Čeprav je imel </w:t>
      </w:r>
      <w:r w:rsidR="00DE7FB6" w:rsidRPr="008D5676">
        <w:rPr>
          <w:rFonts w:cs="Arial"/>
          <w:color w:val="auto"/>
          <w:sz w:val="24"/>
          <w:szCs w:val="24"/>
        </w:rPr>
        <w:t xml:space="preserve">zahodni del države </w:t>
      </w:r>
      <w:r w:rsidRPr="008D5676">
        <w:rPr>
          <w:rFonts w:cs="Arial"/>
          <w:color w:val="auto"/>
          <w:sz w:val="24"/>
          <w:szCs w:val="24"/>
        </w:rPr>
        <w:t>dolga leta v primerjavi z regijami v vzhodnem delu</w:t>
      </w:r>
      <w:r w:rsidR="00FA5C91" w:rsidRPr="00A22320">
        <w:rPr>
          <w:rFonts w:cs="Arial"/>
          <w:color w:val="auto"/>
          <w:sz w:val="24"/>
          <w:szCs w:val="24"/>
        </w:rPr>
        <w:t xml:space="preserve"> višjo kakovost življenja</w:t>
      </w:r>
      <w:r w:rsidR="00DE7FB6" w:rsidRPr="008D5676">
        <w:rPr>
          <w:rFonts w:cs="Arial"/>
          <w:color w:val="auto"/>
          <w:sz w:val="24"/>
          <w:szCs w:val="24"/>
        </w:rPr>
        <w:t xml:space="preserve"> </w:t>
      </w:r>
      <w:r w:rsidR="00A75D63" w:rsidRPr="008D5676">
        <w:rPr>
          <w:rFonts w:cs="Arial"/>
          <w:color w:val="auto"/>
          <w:sz w:val="24"/>
          <w:szCs w:val="24"/>
        </w:rPr>
        <w:t>(Gregorčič in</w:t>
      </w:r>
      <w:r w:rsidRPr="008D5676">
        <w:rPr>
          <w:rFonts w:cs="Arial"/>
          <w:color w:val="auto"/>
          <w:sz w:val="24"/>
          <w:szCs w:val="24"/>
        </w:rPr>
        <w:t xml:space="preserve"> Hanž</w:t>
      </w:r>
      <w:r w:rsidR="00A75D63" w:rsidRPr="008D5676">
        <w:rPr>
          <w:rFonts w:cs="Arial"/>
          <w:color w:val="auto"/>
          <w:sz w:val="24"/>
          <w:szCs w:val="24"/>
        </w:rPr>
        <w:t>e</w:t>
      </w:r>
      <w:r w:rsidRPr="008D5676">
        <w:rPr>
          <w:rFonts w:cs="Arial"/>
          <w:color w:val="auto"/>
          <w:sz w:val="24"/>
          <w:szCs w:val="24"/>
        </w:rPr>
        <w:t xml:space="preserve">k, 2001), </w:t>
      </w:r>
      <w:r w:rsidR="00DE7FB6" w:rsidRPr="008D5676">
        <w:rPr>
          <w:rFonts w:cs="Arial"/>
          <w:color w:val="auto"/>
          <w:sz w:val="24"/>
          <w:szCs w:val="24"/>
        </w:rPr>
        <w:t>pa je Ajdovščina zaradi kriz</w:t>
      </w:r>
      <w:r w:rsidRPr="008D5676">
        <w:rPr>
          <w:rFonts w:cs="Arial"/>
          <w:color w:val="auto"/>
          <w:sz w:val="24"/>
          <w:szCs w:val="24"/>
        </w:rPr>
        <w:t xml:space="preserve"> izgubila </w:t>
      </w:r>
      <w:r w:rsidR="00DE7FB6" w:rsidRPr="008D5676">
        <w:rPr>
          <w:rFonts w:cs="Arial"/>
          <w:color w:val="auto"/>
          <w:sz w:val="24"/>
          <w:szCs w:val="24"/>
        </w:rPr>
        <w:t>ta privil</w:t>
      </w:r>
      <w:r w:rsidR="00764971" w:rsidRPr="00A22320">
        <w:rPr>
          <w:rFonts w:cs="Arial"/>
          <w:color w:val="auto"/>
          <w:sz w:val="24"/>
          <w:szCs w:val="24"/>
        </w:rPr>
        <w:t>e</w:t>
      </w:r>
      <w:r w:rsidR="00DE7FB6" w:rsidRPr="008D5676">
        <w:rPr>
          <w:rFonts w:cs="Arial"/>
          <w:color w:val="auto"/>
          <w:sz w:val="24"/>
          <w:szCs w:val="24"/>
        </w:rPr>
        <w:t>giran</w:t>
      </w:r>
      <w:r w:rsidR="00FA5C91" w:rsidRPr="00A22320">
        <w:rPr>
          <w:rFonts w:cs="Arial"/>
          <w:color w:val="auto"/>
          <w:sz w:val="24"/>
          <w:szCs w:val="24"/>
        </w:rPr>
        <w:t>i</w:t>
      </w:r>
      <w:r w:rsidR="00DE7FB6" w:rsidRPr="008D5676">
        <w:rPr>
          <w:rFonts w:cs="Arial"/>
          <w:color w:val="auto"/>
          <w:sz w:val="24"/>
          <w:szCs w:val="24"/>
        </w:rPr>
        <w:t xml:space="preserve"> položaj in se danes po kaz</w:t>
      </w:r>
      <w:r w:rsidR="00E266E9" w:rsidRPr="008D5676">
        <w:rPr>
          <w:rFonts w:cs="Arial"/>
          <w:color w:val="auto"/>
          <w:sz w:val="24"/>
          <w:szCs w:val="24"/>
        </w:rPr>
        <w:t>a</w:t>
      </w:r>
      <w:r w:rsidR="00DE7FB6" w:rsidRPr="008D5676">
        <w:rPr>
          <w:rFonts w:cs="Arial"/>
          <w:color w:val="auto"/>
          <w:sz w:val="24"/>
          <w:szCs w:val="24"/>
        </w:rPr>
        <w:t>lcih kakov</w:t>
      </w:r>
      <w:r w:rsidR="006A6C1F" w:rsidRPr="008D5676">
        <w:rPr>
          <w:rFonts w:cs="Arial"/>
          <w:color w:val="auto"/>
          <w:sz w:val="24"/>
          <w:szCs w:val="24"/>
        </w:rPr>
        <w:t>o</w:t>
      </w:r>
      <w:r w:rsidR="00DE7FB6" w:rsidRPr="008D5676">
        <w:rPr>
          <w:rFonts w:cs="Arial"/>
          <w:color w:val="auto"/>
          <w:sz w:val="24"/>
          <w:szCs w:val="24"/>
        </w:rPr>
        <w:t xml:space="preserve">sti uvršča v </w:t>
      </w:r>
      <w:r w:rsidRPr="008D5676">
        <w:rPr>
          <w:rFonts w:cs="Arial"/>
          <w:color w:val="auto"/>
          <w:sz w:val="24"/>
          <w:szCs w:val="24"/>
        </w:rPr>
        <w:t>nacionaln</w:t>
      </w:r>
      <w:r w:rsidR="00DE7FB6" w:rsidRPr="008D5676">
        <w:rPr>
          <w:rFonts w:cs="Arial"/>
          <w:color w:val="auto"/>
          <w:sz w:val="24"/>
          <w:szCs w:val="24"/>
        </w:rPr>
        <w:t>o</w:t>
      </w:r>
      <w:r w:rsidRPr="008D5676">
        <w:rPr>
          <w:rFonts w:cs="Arial"/>
          <w:color w:val="auto"/>
          <w:sz w:val="24"/>
          <w:szCs w:val="24"/>
        </w:rPr>
        <w:t xml:space="preserve"> povprečj</w:t>
      </w:r>
      <w:r w:rsidR="00DE7FB6" w:rsidRPr="008D5676">
        <w:rPr>
          <w:rFonts w:cs="Arial"/>
          <w:color w:val="auto"/>
          <w:sz w:val="24"/>
          <w:szCs w:val="24"/>
        </w:rPr>
        <w:t>e. Stopnja brezposelnosti</w:t>
      </w:r>
      <w:r w:rsidR="00764971" w:rsidRPr="00A22320">
        <w:rPr>
          <w:rFonts w:cs="Arial"/>
          <w:color w:val="auto"/>
          <w:sz w:val="24"/>
          <w:szCs w:val="24"/>
        </w:rPr>
        <w:t xml:space="preserve"> se</w:t>
      </w:r>
      <w:r w:rsidRPr="008D5676">
        <w:rPr>
          <w:rFonts w:cs="Arial"/>
          <w:color w:val="auto"/>
          <w:sz w:val="24"/>
          <w:szCs w:val="24"/>
        </w:rPr>
        <w:t xml:space="preserve"> je po zadnji krizi leta 2008 </w:t>
      </w:r>
      <w:r w:rsidR="00764971" w:rsidRPr="00A22320">
        <w:rPr>
          <w:rFonts w:cs="Arial"/>
          <w:color w:val="auto"/>
          <w:sz w:val="24"/>
          <w:szCs w:val="24"/>
        </w:rPr>
        <w:t>dvignila</w:t>
      </w:r>
      <w:r w:rsidR="00DE7FB6" w:rsidRPr="008D5676">
        <w:rPr>
          <w:rFonts w:cs="Arial"/>
          <w:color w:val="auto"/>
          <w:sz w:val="24"/>
          <w:szCs w:val="24"/>
        </w:rPr>
        <w:t xml:space="preserve"> </w:t>
      </w:r>
      <w:r w:rsidR="00664B30" w:rsidRPr="008D5676">
        <w:rPr>
          <w:rFonts w:cs="Arial"/>
          <w:color w:val="auto"/>
          <w:sz w:val="24"/>
          <w:szCs w:val="24"/>
        </w:rPr>
        <w:t>nad nacionalno povprečje (</w:t>
      </w:r>
      <w:r w:rsidR="00DE7FB6" w:rsidRPr="008D5676">
        <w:rPr>
          <w:rFonts w:cs="Arial"/>
          <w:color w:val="auto"/>
          <w:sz w:val="24"/>
          <w:szCs w:val="24"/>
        </w:rPr>
        <w:t xml:space="preserve">do </w:t>
      </w:r>
      <w:r w:rsidRPr="008D5676">
        <w:rPr>
          <w:rFonts w:cs="Arial"/>
          <w:color w:val="auto"/>
          <w:sz w:val="24"/>
          <w:szCs w:val="24"/>
        </w:rPr>
        <w:t>14,7</w:t>
      </w:r>
      <w:r w:rsidR="00764971" w:rsidRPr="00A22320">
        <w:rPr>
          <w:rFonts w:cs="Arial"/>
          <w:color w:val="auto"/>
          <w:sz w:val="24"/>
          <w:szCs w:val="24"/>
        </w:rPr>
        <w:t xml:space="preserve"> </w:t>
      </w:r>
      <w:r w:rsidRPr="008D5676">
        <w:rPr>
          <w:rFonts w:cs="Arial"/>
          <w:color w:val="auto"/>
          <w:sz w:val="24"/>
          <w:szCs w:val="24"/>
        </w:rPr>
        <w:t>%</w:t>
      </w:r>
      <w:r w:rsidR="00664B30" w:rsidRPr="008D5676">
        <w:rPr>
          <w:rFonts w:cs="Arial"/>
          <w:color w:val="auto"/>
          <w:sz w:val="24"/>
          <w:szCs w:val="24"/>
        </w:rPr>
        <w:t>)</w:t>
      </w:r>
      <w:r w:rsidRPr="008D5676">
        <w:rPr>
          <w:rFonts w:cs="Arial"/>
          <w:color w:val="auto"/>
          <w:sz w:val="24"/>
          <w:szCs w:val="24"/>
        </w:rPr>
        <w:t xml:space="preserve">, nato pa se je postopno zmanjšala </w:t>
      </w:r>
      <w:r w:rsidR="006A6C1F" w:rsidRPr="008D5676">
        <w:rPr>
          <w:rFonts w:cs="Arial"/>
          <w:color w:val="auto"/>
          <w:sz w:val="24"/>
          <w:szCs w:val="24"/>
        </w:rPr>
        <w:t xml:space="preserve">in je v letu 2017 pristala na </w:t>
      </w:r>
      <w:r w:rsidRPr="008D5676">
        <w:rPr>
          <w:rFonts w:cs="Arial"/>
          <w:color w:val="auto"/>
          <w:sz w:val="24"/>
          <w:szCs w:val="24"/>
        </w:rPr>
        <w:t>7,3</w:t>
      </w:r>
      <w:r w:rsidR="00764971" w:rsidRPr="00A22320">
        <w:rPr>
          <w:rFonts w:cs="Arial"/>
          <w:color w:val="auto"/>
          <w:sz w:val="24"/>
          <w:szCs w:val="24"/>
        </w:rPr>
        <w:t xml:space="preserve"> </w:t>
      </w:r>
      <w:r w:rsidRPr="008D5676">
        <w:rPr>
          <w:rFonts w:cs="Arial"/>
          <w:color w:val="auto"/>
          <w:sz w:val="24"/>
          <w:szCs w:val="24"/>
        </w:rPr>
        <w:t>% (SURS, 2017), kar je nižje od nacionalnega povprečja. Do leta 2011 je imela Goriška regija najnižjo stopnjo socialne izključenost</w:t>
      </w:r>
      <w:r w:rsidR="00DE7FB6" w:rsidRPr="008D5676">
        <w:rPr>
          <w:rFonts w:cs="Arial"/>
          <w:color w:val="auto"/>
          <w:sz w:val="24"/>
          <w:szCs w:val="24"/>
        </w:rPr>
        <w:t>i (13</w:t>
      </w:r>
      <w:r w:rsidR="00A13E90" w:rsidRPr="00A22320">
        <w:rPr>
          <w:rFonts w:cs="Arial"/>
          <w:color w:val="auto"/>
          <w:sz w:val="24"/>
          <w:szCs w:val="24"/>
        </w:rPr>
        <w:t xml:space="preserve"> </w:t>
      </w:r>
      <w:r w:rsidR="00DE7FB6" w:rsidRPr="008D5676">
        <w:rPr>
          <w:rFonts w:cs="Arial"/>
          <w:color w:val="auto"/>
          <w:sz w:val="24"/>
          <w:szCs w:val="24"/>
        </w:rPr>
        <w:t xml:space="preserve">% v primerjavi z nacionalnim povprečjem, ki je bilo </w:t>
      </w:r>
      <w:r w:rsidRPr="008D5676">
        <w:rPr>
          <w:rFonts w:cs="Arial"/>
          <w:color w:val="auto"/>
          <w:sz w:val="24"/>
          <w:szCs w:val="24"/>
        </w:rPr>
        <w:t>19,3</w:t>
      </w:r>
      <w:r w:rsidR="00A13E90" w:rsidRPr="00A22320">
        <w:rPr>
          <w:rFonts w:cs="Arial"/>
          <w:color w:val="auto"/>
          <w:sz w:val="24"/>
          <w:szCs w:val="24"/>
        </w:rPr>
        <w:t xml:space="preserve"> </w:t>
      </w:r>
      <w:r w:rsidRPr="008D5676">
        <w:rPr>
          <w:rFonts w:cs="Arial"/>
          <w:color w:val="auto"/>
          <w:sz w:val="24"/>
          <w:szCs w:val="24"/>
        </w:rPr>
        <w:t xml:space="preserve">%), </w:t>
      </w:r>
      <w:r w:rsidR="00DE7FB6" w:rsidRPr="008D5676">
        <w:rPr>
          <w:rFonts w:cs="Arial"/>
          <w:color w:val="auto"/>
          <w:sz w:val="24"/>
          <w:szCs w:val="24"/>
        </w:rPr>
        <w:t>a je ta v naslednjih letih zrasla na 20</w:t>
      </w:r>
      <w:r w:rsidR="00A13E90" w:rsidRPr="00A22320">
        <w:rPr>
          <w:rFonts w:cs="Arial"/>
          <w:color w:val="auto"/>
          <w:sz w:val="24"/>
          <w:szCs w:val="24"/>
        </w:rPr>
        <w:t xml:space="preserve"> </w:t>
      </w:r>
      <w:r w:rsidR="00DE7FB6" w:rsidRPr="008D5676">
        <w:rPr>
          <w:rFonts w:cs="Arial"/>
          <w:color w:val="auto"/>
          <w:sz w:val="24"/>
          <w:szCs w:val="24"/>
        </w:rPr>
        <w:t>% (SURS, 2018</w:t>
      </w:r>
      <w:r w:rsidRPr="008D5676">
        <w:rPr>
          <w:rFonts w:cs="Arial"/>
          <w:color w:val="auto"/>
          <w:sz w:val="24"/>
          <w:szCs w:val="24"/>
        </w:rPr>
        <w:t>).</w:t>
      </w:r>
      <w:r w:rsidR="00DE7FB6" w:rsidRPr="008D5676">
        <w:rPr>
          <w:rFonts w:cs="Arial"/>
          <w:color w:val="auto"/>
          <w:sz w:val="24"/>
          <w:szCs w:val="24"/>
        </w:rPr>
        <w:t xml:space="preserve"> Ajdovščina se danes uvršča tudi nad nacionalnim povprečjem glede stopnje tveganja revščine (Ajdovščina ima 15,2</w:t>
      </w:r>
      <w:r w:rsidR="00A13E90" w:rsidRPr="00A22320">
        <w:rPr>
          <w:rFonts w:cs="Arial"/>
          <w:color w:val="auto"/>
          <w:sz w:val="24"/>
          <w:szCs w:val="24"/>
        </w:rPr>
        <w:t xml:space="preserve"> </w:t>
      </w:r>
      <w:r w:rsidR="00DE7FB6" w:rsidRPr="008D5676">
        <w:rPr>
          <w:rFonts w:cs="Arial"/>
          <w:color w:val="auto"/>
          <w:sz w:val="24"/>
          <w:szCs w:val="24"/>
        </w:rPr>
        <w:t>%, nacionalno povprečje pa je 14</w:t>
      </w:r>
      <w:r w:rsidR="00955D9F" w:rsidRPr="008D5676">
        <w:rPr>
          <w:rFonts w:cs="Arial"/>
          <w:color w:val="auto"/>
          <w:sz w:val="24"/>
          <w:szCs w:val="24"/>
        </w:rPr>
        <w:t>,</w:t>
      </w:r>
      <w:r w:rsidR="00DE7FB6" w:rsidRPr="008D5676">
        <w:rPr>
          <w:rFonts w:cs="Arial"/>
          <w:color w:val="auto"/>
          <w:sz w:val="24"/>
          <w:szCs w:val="24"/>
        </w:rPr>
        <w:t>3</w:t>
      </w:r>
      <w:r w:rsidR="00A13E90" w:rsidRPr="00A22320">
        <w:rPr>
          <w:rFonts w:cs="Arial"/>
          <w:color w:val="auto"/>
          <w:sz w:val="24"/>
          <w:szCs w:val="24"/>
        </w:rPr>
        <w:t xml:space="preserve"> </w:t>
      </w:r>
      <w:r w:rsidR="00D86B18" w:rsidRPr="008D5676">
        <w:rPr>
          <w:rFonts w:cs="Arial"/>
          <w:color w:val="auto"/>
          <w:sz w:val="24"/>
          <w:szCs w:val="24"/>
        </w:rPr>
        <w:t>%</w:t>
      </w:r>
      <w:r w:rsidR="00DE7FB6" w:rsidRPr="008D5676">
        <w:rPr>
          <w:rFonts w:cs="Arial"/>
          <w:color w:val="auto"/>
          <w:sz w:val="24"/>
          <w:szCs w:val="24"/>
        </w:rPr>
        <w:t xml:space="preserve">) </w:t>
      </w:r>
      <w:r w:rsidR="00A75D63" w:rsidRPr="008D5676">
        <w:rPr>
          <w:rFonts w:cs="Arial"/>
          <w:color w:val="auto"/>
          <w:sz w:val="24"/>
          <w:szCs w:val="24"/>
        </w:rPr>
        <w:t>(SURS, 2017). Obe gospodarski krizi</w:t>
      </w:r>
      <w:r w:rsidR="00DE7FB6" w:rsidRPr="008D5676">
        <w:rPr>
          <w:rFonts w:cs="Arial"/>
          <w:color w:val="auto"/>
          <w:sz w:val="24"/>
          <w:szCs w:val="24"/>
        </w:rPr>
        <w:t xml:space="preserve"> sta </w:t>
      </w:r>
      <w:r w:rsidR="00A75D63" w:rsidRPr="008D5676">
        <w:rPr>
          <w:rFonts w:cs="Arial"/>
          <w:color w:val="auto"/>
          <w:sz w:val="24"/>
          <w:szCs w:val="24"/>
        </w:rPr>
        <w:t>vplivali tudi na kakovost življen</w:t>
      </w:r>
      <w:r w:rsidR="0054317B" w:rsidRPr="008D5676">
        <w:rPr>
          <w:rFonts w:cs="Arial"/>
          <w:color w:val="auto"/>
          <w:sz w:val="24"/>
          <w:szCs w:val="24"/>
        </w:rPr>
        <w:t>ja starejših občank in občanov</w:t>
      </w:r>
      <w:r w:rsidR="00A75D63" w:rsidRPr="008D5676">
        <w:rPr>
          <w:rFonts w:cs="Arial"/>
          <w:color w:val="auto"/>
          <w:sz w:val="24"/>
          <w:szCs w:val="24"/>
        </w:rPr>
        <w:t xml:space="preserve"> </w:t>
      </w:r>
      <w:r w:rsidR="0054317B" w:rsidRPr="008D5676">
        <w:rPr>
          <w:rFonts w:cs="Arial"/>
          <w:color w:val="auto"/>
          <w:sz w:val="24"/>
          <w:szCs w:val="24"/>
        </w:rPr>
        <w:t>Ajdovščine;</w:t>
      </w:r>
      <w:r w:rsidR="00DE7FB6" w:rsidRPr="008D5676">
        <w:rPr>
          <w:rFonts w:cs="Arial"/>
          <w:color w:val="auto"/>
          <w:sz w:val="24"/>
          <w:szCs w:val="24"/>
        </w:rPr>
        <w:t xml:space="preserve"> mnogi so </w:t>
      </w:r>
      <w:r w:rsidR="0054317B" w:rsidRPr="008D5676">
        <w:rPr>
          <w:rFonts w:cs="Arial"/>
          <w:color w:val="auto"/>
          <w:sz w:val="24"/>
          <w:szCs w:val="24"/>
        </w:rPr>
        <w:t xml:space="preserve">zaposlitev izgubili tik </w:t>
      </w:r>
      <w:r w:rsidR="00DE7FB6" w:rsidRPr="008D5676">
        <w:rPr>
          <w:rFonts w:cs="Arial"/>
          <w:color w:val="auto"/>
          <w:sz w:val="24"/>
          <w:szCs w:val="24"/>
        </w:rPr>
        <w:t xml:space="preserve">pred </w:t>
      </w:r>
      <w:r w:rsidR="00DF5460" w:rsidRPr="008D5676">
        <w:rPr>
          <w:rFonts w:cs="Arial"/>
          <w:color w:val="auto"/>
          <w:sz w:val="24"/>
          <w:szCs w:val="24"/>
        </w:rPr>
        <w:t xml:space="preserve">dopolnjeno </w:t>
      </w:r>
      <w:r w:rsidR="00DE7FB6" w:rsidRPr="008D5676">
        <w:rPr>
          <w:rFonts w:cs="Arial"/>
          <w:color w:val="auto"/>
          <w:sz w:val="24"/>
          <w:szCs w:val="24"/>
        </w:rPr>
        <w:t>upokojitveno starostjo, njihove pokojnin</w:t>
      </w:r>
      <w:r w:rsidR="00A75D63" w:rsidRPr="008D5676">
        <w:rPr>
          <w:rFonts w:cs="Arial"/>
          <w:color w:val="auto"/>
          <w:sz w:val="24"/>
          <w:szCs w:val="24"/>
        </w:rPr>
        <w:t>e</w:t>
      </w:r>
      <w:r w:rsidR="00DE7FB6" w:rsidRPr="008D5676">
        <w:rPr>
          <w:rFonts w:cs="Arial"/>
          <w:color w:val="auto"/>
          <w:sz w:val="24"/>
          <w:szCs w:val="24"/>
        </w:rPr>
        <w:t xml:space="preserve"> </w:t>
      </w:r>
      <w:r w:rsidR="0054317B" w:rsidRPr="008D5676">
        <w:rPr>
          <w:rFonts w:cs="Arial"/>
          <w:color w:val="auto"/>
          <w:sz w:val="24"/>
          <w:szCs w:val="24"/>
        </w:rPr>
        <w:t xml:space="preserve">pa </w:t>
      </w:r>
      <w:r w:rsidR="00DE7FB6" w:rsidRPr="008D5676">
        <w:rPr>
          <w:rFonts w:cs="Arial"/>
          <w:color w:val="auto"/>
          <w:sz w:val="24"/>
          <w:szCs w:val="24"/>
        </w:rPr>
        <w:t xml:space="preserve">so se znatno znižale </w:t>
      </w:r>
      <w:r w:rsidR="0054317B" w:rsidRPr="008D5676">
        <w:rPr>
          <w:rFonts w:cs="Arial"/>
          <w:color w:val="auto"/>
          <w:sz w:val="24"/>
          <w:szCs w:val="24"/>
        </w:rPr>
        <w:t xml:space="preserve">tudi </w:t>
      </w:r>
      <w:r w:rsidR="00DE7FB6" w:rsidRPr="008D5676">
        <w:rPr>
          <w:rFonts w:cs="Arial"/>
          <w:color w:val="auto"/>
          <w:sz w:val="24"/>
          <w:szCs w:val="24"/>
        </w:rPr>
        <w:t>za</w:t>
      </w:r>
      <w:r w:rsidR="00A13E90" w:rsidRPr="00A22320">
        <w:rPr>
          <w:rFonts w:cs="Arial"/>
          <w:color w:val="auto"/>
          <w:sz w:val="24"/>
          <w:szCs w:val="24"/>
        </w:rPr>
        <w:t xml:space="preserve">to, ker </w:t>
      </w:r>
      <w:r w:rsidR="0054317B" w:rsidRPr="008D5676">
        <w:rPr>
          <w:rFonts w:cs="Arial"/>
          <w:color w:val="auto"/>
          <w:sz w:val="24"/>
          <w:szCs w:val="24"/>
        </w:rPr>
        <w:t>delodajalc</w:t>
      </w:r>
      <w:r w:rsidR="00A13E90" w:rsidRPr="00A22320">
        <w:rPr>
          <w:rFonts w:cs="Arial"/>
          <w:color w:val="auto"/>
          <w:sz w:val="24"/>
          <w:szCs w:val="24"/>
        </w:rPr>
        <w:t>i</w:t>
      </w:r>
      <w:r w:rsidR="0054317B" w:rsidRPr="008D5676">
        <w:rPr>
          <w:rFonts w:cs="Arial"/>
          <w:color w:val="auto"/>
          <w:sz w:val="24"/>
          <w:szCs w:val="24"/>
        </w:rPr>
        <w:t xml:space="preserve"> </w:t>
      </w:r>
      <w:r w:rsidR="00A13E90" w:rsidRPr="00A22320">
        <w:rPr>
          <w:rFonts w:cs="Arial"/>
          <w:color w:val="auto"/>
          <w:sz w:val="24"/>
          <w:szCs w:val="24"/>
        </w:rPr>
        <w:t xml:space="preserve">iz </w:t>
      </w:r>
      <w:r w:rsidR="0054317B" w:rsidRPr="008D5676">
        <w:rPr>
          <w:rFonts w:cs="Arial"/>
          <w:color w:val="auto"/>
          <w:sz w:val="24"/>
          <w:szCs w:val="24"/>
        </w:rPr>
        <w:t xml:space="preserve">ajdovskih podjetij </w:t>
      </w:r>
      <w:r w:rsidR="00A13E90" w:rsidRPr="00A22320">
        <w:rPr>
          <w:rFonts w:cs="Arial"/>
          <w:color w:val="auto"/>
          <w:sz w:val="24"/>
          <w:szCs w:val="24"/>
        </w:rPr>
        <w:t xml:space="preserve">niso plačevali prispevkov, </w:t>
      </w:r>
      <w:r w:rsidR="00A75D63" w:rsidRPr="008D5676">
        <w:rPr>
          <w:rFonts w:cs="Arial"/>
          <w:color w:val="auto"/>
          <w:sz w:val="24"/>
          <w:szCs w:val="24"/>
        </w:rPr>
        <w:t>ipd.</w:t>
      </w:r>
      <w:r w:rsidR="00DE7FB6" w:rsidRPr="008D5676">
        <w:rPr>
          <w:color w:val="auto"/>
          <w:sz w:val="24"/>
          <w:szCs w:val="24"/>
        </w:rPr>
        <w:t xml:space="preserve"> </w:t>
      </w:r>
      <w:r w:rsidR="0054317B" w:rsidRPr="008D5676">
        <w:rPr>
          <w:rFonts w:cs="Arial"/>
          <w:color w:val="auto"/>
          <w:sz w:val="24"/>
          <w:szCs w:val="24"/>
        </w:rPr>
        <w:t>Breme</w:t>
      </w:r>
      <w:r w:rsidR="00A75D63" w:rsidRPr="008D5676">
        <w:rPr>
          <w:rFonts w:cs="Arial"/>
          <w:color w:val="auto"/>
          <w:sz w:val="24"/>
          <w:szCs w:val="24"/>
        </w:rPr>
        <w:t xml:space="preserve"> kriz</w:t>
      </w:r>
      <w:r w:rsidR="00DE7FB6" w:rsidRPr="008D5676">
        <w:rPr>
          <w:rFonts w:cs="Arial"/>
          <w:color w:val="auto"/>
          <w:sz w:val="24"/>
          <w:szCs w:val="24"/>
        </w:rPr>
        <w:t xml:space="preserve"> </w:t>
      </w:r>
      <w:r w:rsidR="00955D9F" w:rsidRPr="008D5676">
        <w:rPr>
          <w:rFonts w:cs="Arial"/>
          <w:color w:val="auto"/>
          <w:sz w:val="24"/>
          <w:szCs w:val="24"/>
        </w:rPr>
        <w:t>je večinoma padlo na</w:t>
      </w:r>
      <w:r w:rsidR="0054317B" w:rsidRPr="008D5676">
        <w:rPr>
          <w:rFonts w:cs="Arial"/>
          <w:color w:val="auto"/>
          <w:sz w:val="24"/>
          <w:szCs w:val="24"/>
        </w:rPr>
        <w:t xml:space="preserve"> ženske, kajti moški so </w:t>
      </w:r>
      <w:r w:rsidR="00A75D63" w:rsidRPr="008D5676">
        <w:rPr>
          <w:rFonts w:cs="Arial"/>
          <w:color w:val="auto"/>
          <w:sz w:val="24"/>
          <w:szCs w:val="24"/>
        </w:rPr>
        <w:t xml:space="preserve">po izgubi </w:t>
      </w:r>
      <w:r w:rsidR="0054317B" w:rsidRPr="008D5676">
        <w:rPr>
          <w:rFonts w:cs="Arial"/>
          <w:color w:val="auto"/>
          <w:sz w:val="24"/>
          <w:szCs w:val="24"/>
        </w:rPr>
        <w:t>zaposlitve ali po upokojitvi zaradi bolezni, depresije itn. pogost</w:t>
      </w:r>
      <w:r w:rsidR="00DF5460" w:rsidRPr="008D5676">
        <w:rPr>
          <w:rFonts w:cs="Arial"/>
          <w:color w:val="auto"/>
          <w:sz w:val="24"/>
          <w:szCs w:val="24"/>
        </w:rPr>
        <w:t>eje hit</w:t>
      </w:r>
      <w:r w:rsidR="003B79E6" w:rsidRPr="00A22320">
        <w:rPr>
          <w:rFonts w:cs="Arial"/>
          <w:color w:val="auto"/>
          <w:sz w:val="24"/>
          <w:szCs w:val="24"/>
        </w:rPr>
        <w:t>r</w:t>
      </w:r>
      <w:r w:rsidR="00DF5460" w:rsidRPr="008D5676">
        <w:rPr>
          <w:rFonts w:cs="Arial"/>
          <w:color w:val="auto"/>
          <w:sz w:val="24"/>
          <w:szCs w:val="24"/>
        </w:rPr>
        <w:t>eje</w:t>
      </w:r>
      <w:r w:rsidR="0054317B" w:rsidRPr="008D5676">
        <w:rPr>
          <w:rFonts w:cs="Arial"/>
          <w:color w:val="auto"/>
          <w:sz w:val="24"/>
          <w:szCs w:val="24"/>
        </w:rPr>
        <w:t xml:space="preserve"> um</w:t>
      </w:r>
      <w:r w:rsidR="00A13E90" w:rsidRPr="00A22320">
        <w:rPr>
          <w:rFonts w:cs="Arial"/>
          <w:color w:val="auto"/>
          <w:sz w:val="24"/>
          <w:szCs w:val="24"/>
        </w:rPr>
        <w:t>i</w:t>
      </w:r>
      <w:r w:rsidR="0054317B" w:rsidRPr="008D5676">
        <w:rPr>
          <w:rFonts w:cs="Arial"/>
          <w:color w:val="auto"/>
          <w:sz w:val="24"/>
          <w:szCs w:val="24"/>
        </w:rPr>
        <w:t>r</w:t>
      </w:r>
      <w:r w:rsidR="00DF5460" w:rsidRPr="008D5676">
        <w:rPr>
          <w:rFonts w:cs="Arial"/>
          <w:color w:val="auto"/>
          <w:sz w:val="24"/>
          <w:szCs w:val="24"/>
        </w:rPr>
        <w:t>a</w:t>
      </w:r>
      <w:r w:rsidR="0054317B" w:rsidRPr="008D5676">
        <w:rPr>
          <w:rFonts w:cs="Arial"/>
          <w:color w:val="auto"/>
          <w:sz w:val="24"/>
          <w:szCs w:val="24"/>
        </w:rPr>
        <w:t>li (več glej Gregorčič, 2017).</w:t>
      </w:r>
      <w:r w:rsidR="006968F1" w:rsidRPr="008D5676">
        <w:rPr>
          <w:rFonts w:cs="Arial"/>
          <w:color w:val="auto"/>
          <w:sz w:val="24"/>
          <w:szCs w:val="24"/>
        </w:rPr>
        <w:t xml:space="preserve"> P</w:t>
      </w:r>
      <w:r w:rsidR="00DE7FB6" w:rsidRPr="008D5676">
        <w:rPr>
          <w:rFonts w:cs="Arial"/>
          <w:color w:val="auto"/>
          <w:sz w:val="24"/>
          <w:szCs w:val="24"/>
        </w:rPr>
        <w:t xml:space="preserve">osledično so </w:t>
      </w:r>
      <w:r w:rsidR="006968F1" w:rsidRPr="008D5676">
        <w:rPr>
          <w:rFonts w:cs="Arial"/>
          <w:color w:val="auto"/>
          <w:sz w:val="24"/>
          <w:szCs w:val="24"/>
        </w:rPr>
        <w:t>se z revščino pogost</w:t>
      </w:r>
      <w:r w:rsidR="00A13E90" w:rsidRPr="00A22320">
        <w:rPr>
          <w:rFonts w:cs="Arial"/>
          <w:color w:val="auto"/>
          <w:sz w:val="24"/>
          <w:szCs w:val="24"/>
        </w:rPr>
        <w:t>e</w:t>
      </w:r>
      <w:r w:rsidR="006968F1" w:rsidRPr="008D5676">
        <w:rPr>
          <w:rFonts w:cs="Arial"/>
          <w:color w:val="auto"/>
          <w:sz w:val="24"/>
          <w:szCs w:val="24"/>
        </w:rPr>
        <w:t xml:space="preserve">je soočile ženske, ki so se morale </w:t>
      </w:r>
      <w:r w:rsidR="00DF5460" w:rsidRPr="008D5676">
        <w:rPr>
          <w:rFonts w:cs="Arial"/>
          <w:color w:val="auto"/>
          <w:sz w:val="24"/>
          <w:szCs w:val="24"/>
        </w:rPr>
        <w:t xml:space="preserve">same </w:t>
      </w:r>
      <w:r w:rsidR="002209F8" w:rsidRPr="008D5676">
        <w:rPr>
          <w:rFonts w:cs="Arial"/>
          <w:color w:val="auto"/>
          <w:sz w:val="24"/>
          <w:szCs w:val="24"/>
        </w:rPr>
        <w:t>boriti</w:t>
      </w:r>
      <w:r w:rsidR="006968F1" w:rsidRPr="008D5676">
        <w:rPr>
          <w:rFonts w:cs="Arial"/>
          <w:color w:val="auto"/>
          <w:sz w:val="24"/>
          <w:szCs w:val="24"/>
        </w:rPr>
        <w:t xml:space="preserve"> proti ekonomskemu in m</w:t>
      </w:r>
      <w:r w:rsidR="00DE7FB6" w:rsidRPr="008D5676">
        <w:rPr>
          <w:rFonts w:cs="Arial"/>
          <w:color w:val="auto"/>
          <w:sz w:val="24"/>
          <w:szCs w:val="24"/>
        </w:rPr>
        <w:t>aterialnemu pomanjkanju.</w:t>
      </w:r>
    </w:p>
    <w:p w:rsidR="000E59EA" w:rsidRPr="008D5676" w:rsidRDefault="000E59EA" w:rsidP="00A13E90">
      <w:pPr>
        <w:pStyle w:val="nagwek1"/>
        <w:spacing w:line="276" w:lineRule="auto"/>
        <w:rPr>
          <w:rFonts w:asciiTheme="minorHAnsi" w:hAnsiTheme="minorHAnsi"/>
          <w:b/>
          <w:sz w:val="24"/>
          <w:szCs w:val="24"/>
        </w:rPr>
      </w:pPr>
      <w:r w:rsidRPr="00A22320">
        <w:rPr>
          <w:rFonts w:asciiTheme="minorHAnsi" w:hAnsiTheme="minorHAnsi"/>
          <w:b/>
          <w:sz w:val="24"/>
          <w:szCs w:val="24"/>
        </w:rPr>
        <w:t>4 seznam ob</w:t>
      </w:r>
      <w:r w:rsidR="0046166F" w:rsidRPr="008D5676">
        <w:rPr>
          <w:rFonts w:asciiTheme="minorHAnsi" w:hAnsiTheme="minorHAnsi"/>
          <w:b/>
          <w:sz w:val="24"/>
          <w:szCs w:val="24"/>
        </w:rPr>
        <w:t>S</w:t>
      </w:r>
      <w:r w:rsidRPr="00A22320">
        <w:rPr>
          <w:rFonts w:asciiTheme="minorHAnsi" w:hAnsiTheme="minorHAnsi"/>
          <w:b/>
          <w:sz w:val="24"/>
          <w:szCs w:val="24"/>
        </w:rPr>
        <w:t xml:space="preserve">toječih </w:t>
      </w:r>
      <w:r w:rsidR="00900941" w:rsidRPr="00A22320">
        <w:rPr>
          <w:rFonts w:asciiTheme="minorHAnsi" w:hAnsiTheme="minorHAnsi"/>
          <w:b/>
          <w:sz w:val="24"/>
          <w:szCs w:val="24"/>
        </w:rPr>
        <w:t>in/</w:t>
      </w:r>
      <w:r w:rsidRPr="00A22320">
        <w:rPr>
          <w:rFonts w:asciiTheme="minorHAnsi" w:hAnsiTheme="minorHAnsi"/>
          <w:b/>
          <w:sz w:val="24"/>
          <w:szCs w:val="24"/>
        </w:rPr>
        <w:t>ali predvidljivih problemov</w:t>
      </w:r>
      <w:r w:rsidR="00A13E90" w:rsidRPr="00A22320">
        <w:rPr>
          <w:rFonts w:asciiTheme="minorHAnsi" w:hAnsiTheme="minorHAnsi"/>
          <w:b/>
          <w:sz w:val="24"/>
          <w:szCs w:val="24"/>
        </w:rPr>
        <w:t>, OBRAVNAVANIH</w:t>
      </w:r>
      <w:r w:rsidRPr="00A22320">
        <w:rPr>
          <w:rFonts w:asciiTheme="minorHAnsi" w:hAnsiTheme="minorHAnsi"/>
          <w:b/>
          <w:sz w:val="24"/>
          <w:szCs w:val="24"/>
        </w:rPr>
        <w:t xml:space="preserve"> ali ugotovljenih v raziskavi </w:t>
      </w:r>
    </w:p>
    <w:p w:rsidR="007964CD" w:rsidRPr="008D5676" w:rsidRDefault="000E59EA" w:rsidP="00DF5460">
      <w:pPr>
        <w:spacing w:after="120" w:line="276" w:lineRule="auto"/>
        <w:jc w:val="both"/>
        <w:rPr>
          <w:b/>
          <w:color w:val="auto"/>
          <w:sz w:val="24"/>
          <w:szCs w:val="24"/>
          <w:u w:val="single"/>
        </w:rPr>
      </w:pPr>
      <w:r w:rsidRPr="008D5676">
        <w:rPr>
          <w:b/>
          <w:color w:val="auto"/>
          <w:sz w:val="24"/>
          <w:szCs w:val="24"/>
          <w:u w:val="single"/>
        </w:rPr>
        <w:t>GLAVNE UGOTOVITVE, KI IZHAJAJO IZ ANALIZE FOKUSNIH SKUPIN</w:t>
      </w:r>
      <w:r w:rsidR="00B0472F" w:rsidRPr="008D5676">
        <w:rPr>
          <w:b/>
          <w:color w:val="auto"/>
          <w:sz w:val="24"/>
          <w:szCs w:val="24"/>
          <w:u w:val="single"/>
        </w:rPr>
        <w:t xml:space="preserve"> (FS)</w:t>
      </w:r>
      <w:r w:rsidR="007964CD" w:rsidRPr="008D5676">
        <w:rPr>
          <w:b/>
          <w:color w:val="auto"/>
          <w:sz w:val="24"/>
          <w:szCs w:val="24"/>
          <w:u w:val="single"/>
        </w:rPr>
        <w:t>:</w:t>
      </w:r>
    </w:p>
    <w:p w:rsidR="00B0472F" w:rsidRPr="008D5676" w:rsidRDefault="00B0472F" w:rsidP="003B79E6">
      <w:pPr>
        <w:spacing w:after="120" w:line="276" w:lineRule="auto"/>
        <w:jc w:val="both"/>
        <w:rPr>
          <w:rFonts w:cs="Times New Roman"/>
          <w:color w:val="auto"/>
          <w:sz w:val="24"/>
          <w:szCs w:val="24"/>
        </w:rPr>
      </w:pPr>
      <w:r w:rsidRPr="008D5676">
        <w:rPr>
          <w:b/>
          <w:color w:val="auto"/>
          <w:sz w:val="24"/>
          <w:szCs w:val="24"/>
        </w:rPr>
        <w:t>Udeleženci</w:t>
      </w:r>
      <w:r w:rsidR="00DE34B7" w:rsidRPr="008D5676">
        <w:rPr>
          <w:b/>
          <w:color w:val="auto"/>
          <w:sz w:val="24"/>
          <w:szCs w:val="24"/>
        </w:rPr>
        <w:t xml:space="preserve"> fokusne skupine (FS</w:t>
      </w:r>
      <w:r w:rsidR="008F29BF" w:rsidRPr="008D5676">
        <w:rPr>
          <w:b/>
          <w:color w:val="auto"/>
          <w:sz w:val="24"/>
          <w:szCs w:val="24"/>
        </w:rPr>
        <w:t xml:space="preserve">1) </w:t>
      </w:r>
      <w:r w:rsidRPr="008D5676">
        <w:rPr>
          <w:b/>
          <w:color w:val="auto"/>
          <w:sz w:val="24"/>
          <w:szCs w:val="24"/>
        </w:rPr>
        <w:t>iz Četrtne skupn</w:t>
      </w:r>
      <w:r w:rsidR="00DE34B7" w:rsidRPr="008D5676">
        <w:rPr>
          <w:b/>
          <w:color w:val="auto"/>
          <w:sz w:val="24"/>
          <w:szCs w:val="24"/>
        </w:rPr>
        <w:t>osti</w:t>
      </w:r>
      <w:r w:rsidRPr="008D5676">
        <w:rPr>
          <w:b/>
          <w:color w:val="auto"/>
          <w:sz w:val="24"/>
          <w:szCs w:val="24"/>
        </w:rPr>
        <w:t xml:space="preserve"> L</w:t>
      </w:r>
      <w:r w:rsidR="00A13E90" w:rsidRPr="00A22320">
        <w:rPr>
          <w:b/>
          <w:color w:val="auto"/>
          <w:sz w:val="24"/>
          <w:szCs w:val="24"/>
        </w:rPr>
        <w:t>jubljana Bežigrad</w:t>
      </w:r>
      <w:r w:rsidRPr="008D5676">
        <w:rPr>
          <w:b/>
          <w:color w:val="auto"/>
          <w:sz w:val="24"/>
          <w:szCs w:val="24"/>
        </w:rPr>
        <w:t xml:space="preserve"> </w:t>
      </w:r>
      <w:r w:rsidR="00DF5460" w:rsidRPr="008D5676">
        <w:rPr>
          <w:color w:val="auto"/>
          <w:sz w:val="24"/>
          <w:szCs w:val="24"/>
        </w:rPr>
        <w:t>so svoje</w:t>
      </w:r>
      <w:r w:rsidRPr="008D5676">
        <w:rPr>
          <w:color w:val="auto"/>
          <w:sz w:val="24"/>
          <w:szCs w:val="24"/>
        </w:rPr>
        <w:t xml:space="preserve"> družbeno okolje opredelili kot</w:t>
      </w:r>
      <w:r w:rsidRPr="008D5676">
        <w:rPr>
          <w:rFonts w:cs="Times New Roman"/>
          <w:color w:val="auto"/>
          <w:sz w:val="24"/>
          <w:szCs w:val="24"/>
        </w:rPr>
        <w:t xml:space="preserve"> vključujoče, izjemno dejavno ter aktivno z raznovrstnimi možnostmi za kakovostno preživljanje prostega časa</w:t>
      </w:r>
      <w:r w:rsidR="008F29BF" w:rsidRPr="008D5676">
        <w:rPr>
          <w:rFonts w:cs="Times New Roman"/>
          <w:color w:val="auto"/>
          <w:sz w:val="24"/>
          <w:szCs w:val="24"/>
        </w:rPr>
        <w:t xml:space="preserve"> in življenja</w:t>
      </w:r>
      <w:r w:rsidR="00EE6C30" w:rsidRPr="008D5676">
        <w:rPr>
          <w:rFonts w:cs="Times New Roman"/>
          <w:color w:val="auto"/>
          <w:sz w:val="24"/>
          <w:szCs w:val="24"/>
        </w:rPr>
        <w:t>. Zaradi visoke</w:t>
      </w:r>
      <w:r w:rsidRPr="008D5676">
        <w:rPr>
          <w:rFonts w:cs="Times New Roman"/>
          <w:color w:val="auto"/>
          <w:sz w:val="24"/>
          <w:szCs w:val="24"/>
        </w:rPr>
        <w:t xml:space="preserve"> urbanizacije, </w:t>
      </w:r>
      <w:r w:rsidR="008656EB" w:rsidRPr="008D5676">
        <w:rPr>
          <w:rFonts w:cs="Times New Roman"/>
          <w:color w:val="auto"/>
          <w:sz w:val="24"/>
          <w:szCs w:val="24"/>
        </w:rPr>
        <w:t>priseljevanja (in prevladujoče</w:t>
      </w:r>
      <w:r w:rsidRPr="008D5676">
        <w:rPr>
          <w:rFonts w:cs="Times New Roman"/>
          <w:color w:val="auto"/>
          <w:sz w:val="24"/>
          <w:szCs w:val="24"/>
        </w:rPr>
        <w:t xml:space="preserve"> identifi</w:t>
      </w:r>
      <w:r w:rsidR="008656EB" w:rsidRPr="008D5676">
        <w:rPr>
          <w:rFonts w:cs="Times New Roman"/>
          <w:color w:val="auto"/>
          <w:sz w:val="24"/>
          <w:szCs w:val="24"/>
        </w:rPr>
        <w:t>kacije z rojstnim krajem, od koder so se preselili</w:t>
      </w:r>
      <w:r w:rsidR="00A62F72" w:rsidRPr="008D5676">
        <w:rPr>
          <w:rFonts w:cs="Times New Roman"/>
          <w:color w:val="auto"/>
          <w:sz w:val="24"/>
          <w:szCs w:val="24"/>
        </w:rPr>
        <w:t xml:space="preserve"> v Ljubljano</w:t>
      </w:r>
      <w:r w:rsidR="00EE6C30" w:rsidRPr="008D5676">
        <w:rPr>
          <w:rFonts w:cs="Times New Roman"/>
          <w:color w:val="auto"/>
          <w:sz w:val="24"/>
          <w:szCs w:val="24"/>
        </w:rPr>
        <w:t>) in</w:t>
      </w:r>
      <w:r w:rsidRPr="008D5676">
        <w:rPr>
          <w:rFonts w:cs="Times New Roman"/>
          <w:color w:val="auto"/>
          <w:sz w:val="24"/>
          <w:szCs w:val="24"/>
        </w:rPr>
        <w:t xml:space="preserve"> še zlasti zaradi sodobnega načina življenja </w:t>
      </w:r>
      <w:r w:rsidR="00EE6C30" w:rsidRPr="008D5676">
        <w:rPr>
          <w:rFonts w:cs="Times New Roman"/>
          <w:color w:val="auto"/>
          <w:sz w:val="24"/>
          <w:szCs w:val="24"/>
        </w:rPr>
        <w:t>v mestu so ocenjevali, da v četr</w:t>
      </w:r>
      <w:r w:rsidR="00A62F72" w:rsidRPr="008D5676">
        <w:rPr>
          <w:rFonts w:cs="Times New Roman"/>
          <w:color w:val="auto"/>
          <w:sz w:val="24"/>
          <w:szCs w:val="24"/>
        </w:rPr>
        <w:t>t</w:t>
      </w:r>
      <w:r w:rsidR="00EE6C30" w:rsidRPr="008D5676">
        <w:rPr>
          <w:rFonts w:cs="Times New Roman"/>
          <w:color w:val="auto"/>
          <w:sz w:val="24"/>
          <w:szCs w:val="24"/>
        </w:rPr>
        <w:t xml:space="preserve">ni skupnosti </w:t>
      </w:r>
      <w:r w:rsidRPr="008D5676">
        <w:rPr>
          <w:rFonts w:cs="Times New Roman"/>
          <w:color w:val="auto"/>
          <w:sz w:val="24"/>
          <w:szCs w:val="24"/>
        </w:rPr>
        <w:t>prevladuje</w:t>
      </w:r>
      <w:r w:rsidR="00EE6C30" w:rsidRPr="008D5676">
        <w:rPr>
          <w:rFonts w:cs="Times New Roman"/>
          <w:color w:val="auto"/>
          <w:sz w:val="24"/>
          <w:szCs w:val="24"/>
        </w:rPr>
        <w:t>jo</w:t>
      </w:r>
      <w:r w:rsidRPr="008D5676">
        <w:rPr>
          <w:rFonts w:cs="Times New Roman"/>
          <w:color w:val="auto"/>
          <w:sz w:val="24"/>
          <w:szCs w:val="24"/>
        </w:rPr>
        <w:t xml:space="preserve"> razločenost, razdrobljenost, nepoznavanje in nepovezanost</w:t>
      </w:r>
      <w:r w:rsidR="00EE6C30" w:rsidRPr="008D5676">
        <w:rPr>
          <w:rFonts w:cs="Times New Roman"/>
          <w:color w:val="auto"/>
          <w:sz w:val="24"/>
          <w:szCs w:val="24"/>
        </w:rPr>
        <w:t xml:space="preserve"> ljudi</w:t>
      </w:r>
      <w:r w:rsidRPr="008D5676">
        <w:rPr>
          <w:rFonts w:cs="Times New Roman"/>
          <w:color w:val="auto"/>
          <w:sz w:val="24"/>
          <w:szCs w:val="24"/>
        </w:rPr>
        <w:t xml:space="preserve">. Kot glavni problemi, s katerimi se soočajo starejši odrasli v tej skupnosti, so bili </w:t>
      </w:r>
      <w:r w:rsidR="00A13E90" w:rsidRPr="00A22320">
        <w:rPr>
          <w:rFonts w:cs="Times New Roman"/>
          <w:color w:val="auto"/>
          <w:sz w:val="24"/>
          <w:szCs w:val="24"/>
        </w:rPr>
        <w:t>navedeni</w:t>
      </w:r>
      <w:r w:rsidRPr="008D5676">
        <w:rPr>
          <w:rFonts w:cs="Times New Roman"/>
          <w:color w:val="auto"/>
          <w:sz w:val="24"/>
          <w:szCs w:val="24"/>
        </w:rPr>
        <w:t xml:space="preserve">: a) izolacija (starejši se izolirajo pred </w:t>
      </w:r>
      <w:r w:rsidR="004237B8" w:rsidRPr="008D5676">
        <w:rPr>
          <w:rFonts w:cs="Times New Roman"/>
          <w:color w:val="auto"/>
          <w:sz w:val="24"/>
          <w:szCs w:val="24"/>
        </w:rPr>
        <w:t>ljudmi</w:t>
      </w:r>
      <w:r w:rsidRPr="008D5676">
        <w:rPr>
          <w:rFonts w:cs="Times New Roman"/>
          <w:color w:val="auto"/>
          <w:sz w:val="24"/>
          <w:szCs w:val="24"/>
        </w:rPr>
        <w:t xml:space="preserve"> zaradi </w:t>
      </w:r>
      <w:r w:rsidR="00870556" w:rsidRPr="008D5676">
        <w:rPr>
          <w:rFonts w:cs="Times New Roman"/>
          <w:color w:val="auto"/>
          <w:sz w:val="24"/>
          <w:szCs w:val="24"/>
        </w:rPr>
        <w:t xml:space="preserve">osebne </w:t>
      </w:r>
      <w:r w:rsidRPr="008D5676">
        <w:rPr>
          <w:rFonts w:cs="Times New Roman"/>
          <w:color w:val="auto"/>
          <w:sz w:val="24"/>
          <w:szCs w:val="24"/>
        </w:rPr>
        <w:t>stiske, revščine, osamlj</w:t>
      </w:r>
      <w:r w:rsidR="00A13E90" w:rsidRPr="00A22320">
        <w:rPr>
          <w:rFonts w:cs="Times New Roman"/>
          <w:color w:val="auto"/>
          <w:sz w:val="24"/>
          <w:szCs w:val="24"/>
        </w:rPr>
        <w:t>e</w:t>
      </w:r>
      <w:r w:rsidRPr="008D5676">
        <w:rPr>
          <w:rFonts w:cs="Times New Roman"/>
          <w:color w:val="auto"/>
          <w:sz w:val="24"/>
          <w:szCs w:val="24"/>
        </w:rPr>
        <w:t xml:space="preserve">nosti, strahu, zaradi varnosti in protivlomnih sistemov, ki onemogočajo spontane obiske ipd.); b) slaba patronažna in socialna služba (kar </w:t>
      </w:r>
      <w:r w:rsidR="00870556" w:rsidRPr="008D5676">
        <w:rPr>
          <w:rFonts w:cs="Times New Roman"/>
          <w:color w:val="auto"/>
          <w:sz w:val="24"/>
          <w:szCs w:val="24"/>
        </w:rPr>
        <w:t xml:space="preserve">so udeleženci FS1 </w:t>
      </w:r>
      <w:r w:rsidRPr="008D5676">
        <w:rPr>
          <w:rFonts w:cs="Times New Roman"/>
          <w:color w:val="auto"/>
          <w:sz w:val="24"/>
          <w:szCs w:val="24"/>
        </w:rPr>
        <w:t>reflektira</w:t>
      </w:r>
      <w:r w:rsidR="00870556" w:rsidRPr="008D5676">
        <w:rPr>
          <w:rFonts w:cs="Times New Roman"/>
          <w:color w:val="auto"/>
          <w:sz w:val="24"/>
          <w:szCs w:val="24"/>
        </w:rPr>
        <w:t>li</w:t>
      </w:r>
      <w:r w:rsidRPr="008D5676">
        <w:rPr>
          <w:rFonts w:cs="Times New Roman"/>
          <w:color w:val="auto"/>
          <w:sz w:val="24"/>
          <w:szCs w:val="24"/>
        </w:rPr>
        <w:t xml:space="preserve"> predvsem </w:t>
      </w:r>
      <w:r w:rsidR="00870556" w:rsidRPr="008D5676">
        <w:rPr>
          <w:rFonts w:cs="Times New Roman"/>
          <w:color w:val="auto"/>
          <w:sz w:val="24"/>
          <w:szCs w:val="24"/>
        </w:rPr>
        <w:t>s</w:t>
      </w:r>
      <w:r w:rsidRPr="008D5676">
        <w:rPr>
          <w:rFonts w:cs="Times New Roman"/>
          <w:color w:val="auto"/>
          <w:sz w:val="24"/>
          <w:szCs w:val="24"/>
        </w:rPr>
        <w:t xml:space="preserve"> kritik</w:t>
      </w:r>
      <w:r w:rsidR="00870556" w:rsidRPr="008D5676">
        <w:rPr>
          <w:rFonts w:cs="Times New Roman"/>
          <w:color w:val="auto"/>
          <w:sz w:val="24"/>
          <w:szCs w:val="24"/>
        </w:rPr>
        <w:t>o</w:t>
      </w:r>
      <w:r w:rsidRPr="008D5676">
        <w:rPr>
          <w:rFonts w:cs="Times New Roman"/>
          <w:color w:val="auto"/>
          <w:sz w:val="24"/>
          <w:szCs w:val="24"/>
        </w:rPr>
        <w:t xml:space="preserve"> razpustitve celovitega socialn</w:t>
      </w:r>
      <w:r w:rsidR="00870556" w:rsidRPr="008D5676">
        <w:rPr>
          <w:rFonts w:cs="Times New Roman"/>
          <w:color w:val="auto"/>
          <w:sz w:val="24"/>
          <w:szCs w:val="24"/>
        </w:rPr>
        <w:t xml:space="preserve">o-varstvenega </w:t>
      </w:r>
      <w:r w:rsidRPr="008D5676">
        <w:rPr>
          <w:rFonts w:cs="Times New Roman"/>
          <w:color w:val="auto"/>
          <w:sz w:val="24"/>
          <w:szCs w:val="24"/>
        </w:rPr>
        <w:t xml:space="preserve">sistema, ki je nekoč deloval na terenu </w:t>
      </w:r>
      <w:r w:rsidR="00870556" w:rsidRPr="008D5676">
        <w:rPr>
          <w:rFonts w:cs="Times New Roman"/>
          <w:color w:val="auto"/>
          <w:sz w:val="24"/>
          <w:szCs w:val="24"/>
        </w:rPr>
        <w:t>in z ljudmi)</w:t>
      </w:r>
      <w:r w:rsidRPr="008D5676">
        <w:rPr>
          <w:rFonts w:cs="Times New Roman"/>
          <w:color w:val="auto"/>
          <w:sz w:val="24"/>
          <w:szCs w:val="24"/>
        </w:rPr>
        <w:t xml:space="preserve">; c) revščina </w:t>
      </w:r>
      <w:r w:rsidR="00A13E90" w:rsidRPr="00A22320">
        <w:rPr>
          <w:rFonts w:cs="Times New Roman"/>
          <w:color w:val="auto"/>
          <w:sz w:val="24"/>
          <w:szCs w:val="24"/>
        </w:rPr>
        <w:t>in</w:t>
      </w:r>
      <w:r w:rsidRPr="008D5676">
        <w:rPr>
          <w:rFonts w:cs="Times New Roman"/>
          <w:color w:val="auto"/>
          <w:sz w:val="24"/>
          <w:szCs w:val="24"/>
        </w:rPr>
        <w:t xml:space="preserve"> d) nezadostna informiranost o možnostih dejavne starosti za starejše odrasle. </w:t>
      </w:r>
      <w:r w:rsidR="00FA5C91" w:rsidRPr="00A22320">
        <w:rPr>
          <w:rFonts w:cs="Times New Roman"/>
          <w:color w:val="auto"/>
          <w:sz w:val="24"/>
          <w:szCs w:val="24"/>
        </w:rPr>
        <w:t>Z</w:t>
      </w:r>
      <w:r w:rsidRPr="008D5676">
        <w:rPr>
          <w:rFonts w:cs="Times New Roman"/>
          <w:color w:val="auto"/>
          <w:sz w:val="24"/>
          <w:szCs w:val="24"/>
        </w:rPr>
        <w:t>a večje vključevan</w:t>
      </w:r>
      <w:r w:rsidR="00A62F72" w:rsidRPr="008D5676">
        <w:rPr>
          <w:rFonts w:cs="Times New Roman"/>
          <w:color w:val="auto"/>
          <w:sz w:val="24"/>
          <w:szCs w:val="24"/>
        </w:rPr>
        <w:t xml:space="preserve">je starejših moških v skupnost </w:t>
      </w:r>
      <w:r w:rsidRPr="008D5676">
        <w:rPr>
          <w:rFonts w:cs="Times New Roman"/>
          <w:color w:val="auto"/>
          <w:sz w:val="24"/>
          <w:szCs w:val="24"/>
        </w:rPr>
        <w:t>so predlagali zlasti krepitev moških dejavnosti v NVO (športne, gasilske, veteranske ipd.), uvajanje ali nadomeščanje opuščenih dejavnosti (</w:t>
      </w:r>
      <w:r w:rsidR="005C0946" w:rsidRPr="008D5676">
        <w:rPr>
          <w:rFonts w:cs="Arial"/>
          <w:color w:val="auto"/>
          <w:sz w:val="24"/>
          <w:szCs w:val="24"/>
        </w:rPr>
        <w:t xml:space="preserve">organiziranje tipično moških dejavnosti, kot </w:t>
      </w:r>
      <w:r w:rsidR="00A13E90" w:rsidRPr="00A22320">
        <w:rPr>
          <w:rFonts w:cs="Arial"/>
          <w:color w:val="auto"/>
          <w:sz w:val="24"/>
          <w:szCs w:val="24"/>
        </w:rPr>
        <w:t>sta</w:t>
      </w:r>
      <w:r w:rsidR="005C0946" w:rsidRPr="008D5676">
        <w:rPr>
          <w:rFonts w:cs="Arial"/>
          <w:color w:val="auto"/>
          <w:sz w:val="24"/>
          <w:szCs w:val="24"/>
        </w:rPr>
        <w:t xml:space="preserve"> modeliranje, rezbar</w:t>
      </w:r>
      <w:r w:rsidR="003B79E6" w:rsidRPr="00A22320">
        <w:rPr>
          <w:rFonts w:cs="Arial"/>
          <w:color w:val="auto"/>
          <w:sz w:val="24"/>
          <w:szCs w:val="24"/>
        </w:rPr>
        <w:t>s</w:t>
      </w:r>
      <w:r w:rsidR="005C0946" w:rsidRPr="008D5676">
        <w:rPr>
          <w:rFonts w:cs="Arial"/>
          <w:color w:val="auto"/>
          <w:sz w:val="24"/>
          <w:szCs w:val="24"/>
        </w:rPr>
        <w:t xml:space="preserve">tvo </w:t>
      </w:r>
      <w:r w:rsidR="00646A41" w:rsidRPr="008D5676">
        <w:rPr>
          <w:rFonts w:cs="Arial"/>
          <w:color w:val="auto"/>
          <w:sz w:val="24"/>
          <w:szCs w:val="24"/>
        </w:rPr>
        <w:t>ipd.</w:t>
      </w:r>
      <w:r w:rsidRPr="008D5676">
        <w:rPr>
          <w:rFonts w:cs="Times New Roman"/>
          <w:color w:val="auto"/>
          <w:sz w:val="24"/>
          <w:szCs w:val="24"/>
        </w:rPr>
        <w:t>) ter ak</w:t>
      </w:r>
      <w:r w:rsidR="003B79E6" w:rsidRPr="00A22320">
        <w:rPr>
          <w:rFonts w:cs="Times New Roman"/>
          <w:color w:val="auto"/>
          <w:sz w:val="24"/>
          <w:szCs w:val="24"/>
        </w:rPr>
        <w:t>tiv</w:t>
      </w:r>
      <w:r w:rsidRPr="008D5676">
        <w:rPr>
          <w:rFonts w:cs="Times New Roman"/>
          <w:color w:val="auto"/>
          <w:sz w:val="24"/>
          <w:szCs w:val="24"/>
        </w:rPr>
        <w:t xml:space="preserve">nosti, pri katerih sta pomembna (fizično) delo in položaj (dejavnika, ki sta moške najbolj opredeljevala v delovno aktivnem obdobju). </w:t>
      </w:r>
      <w:r w:rsidR="00A13E90" w:rsidRPr="00B00973">
        <w:rPr>
          <w:rFonts w:cs="Times New Roman"/>
          <w:color w:val="auto"/>
          <w:sz w:val="24"/>
          <w:szCs w:val="24"/>
        </w:rPr>
        <w:t>Poudar</w:t>
      </w:r>
      <w:r w:rsidRPr="008D5676">
        <w:rPr>
          <w:rFonts w:cs="Times New Roman"/>
          <w:color w:val="auto"/>
          <w:sz w:val="24"/>
          <w:szCs w:val="24"/>
        </w:rPr>
        <w:t xml:space="preserve">jena je bila potreba </w:t>
      </w:r>
      <w:r w:rsidRPr="008D5676">
        <w:rPr>
          <w:rFonts w:cs="Times New Roman"/>
          <w:color w:val="auto"/>
          <w:sz w:val="24"/>
          <w:szCs w:val="24"/>
        </w:rPr>
        <w:lastRenderedPageBreak/>
        <w:t>po koordinatorju za starejše moške kot informatorju in povezovalcu med društvi, iniciativami, zavodi in organizacijami ter prispevek mlajše generacije k vključevanju starejših v skupnost.</w:t>
      </w:r>
    </w:p>
    <w:p w:rsidR="00DE34B7" w:rsidRPr="008D5676" w:rsidRDefault="008210DE" w:rsidP="00A13E90">
      <w:pPr>
        <w:spacing w:after="120" w:line="276" w:lineRule="auto"/>
        <w:jc w:val="both"/>
        <w:rPr>
          <w:color w:val="auto"/>
          <w:sz w:val="24"/>
          <w:szCs w:val="24"/>
        </w:rPr>
      </w:pPr>
      <w:r w:rsidRPr="008D5676">
        <w:rPr>
          <w:b/>
          <w:color w:val="auto"/>
          <w:sz w:val="24"/>
          <w:szCs w:val="24"/>
        </w:rPr>
        <w:t>Udeleženci fokusne skupine (FS2) iz</w:t>
      </w:r>
      <w:r w:rsidRPr="00A22320">
        <w:rPr>
          <w:color w:val="auto"/>
          <w:sz w:val="24"/>
          <w:szCs w:val="24"/>
        </w:rPr>
        <w:t xml:space="preserve"> </w:t>
      </w:r>
      <w:r w:rsidRPr="008D5676">
        <w:rPr>
          <w:b/>
          <w:color w:val="auto"/>
          <w:sz w:val="24"/>
          <w:szCs w:val="24"/>
        </w:rPr>
        <w:t xml:space="preserve">DCA Ljubljana (Dnevni centri aktivnosti za starejše) </w:t>
      </w:r>
      <w:r w:rsidRPr="008D5676">
        <w:rPr>
          <w:color w:val="auto"/>
          <w:sz w:val="24"/>
          <w:szCs w:val="24"/>
        </w:rPr>
        <w:t xml:space="preserve">so svoj center opredelili kot skupnost, v kateri se </w:t>
      </w:r>
      <w:r w:rsidR="00A13E90" w:rsidRPr="00A22320">
        <w:rPr>
          <w:color w:val="auto"/>
          <w:sz w:val="24"/>
          <w:szCs w:val="24"/>
        </w:rPr>
        <w:t>vsak dan</w:t>
      </w:r>
      <w:r w:rsidR="00DE34B7" w:rsidRPr="008D5676">
        <w:rPr>
          <w:color w:val="auto"/>
          <w:sz w:val="24"/>
          <w:szCs w:val="24"/>
        </w:rPr>
        <w:t xml:space="preserve"> srečujejo star</w:t>
      </w:r>
      <w:r w:rsidR="00A13E90" w:rsidRPr="00A22320">
        <w:rPr>
          <w:color w:val="auto"/>
          <w:sz w:val="24"/>
          <w:szCs w:val="24"/>
        </w:rPr>
        <w:t>e</w:t>
      </w:r>
      <w:r w:rsidR="00DE34B7" w:rsidRPr="008D5676">
        <w:rPr>
          <w:color w:val="auto"/>
          <w:sz w:val="24"/>
          <w:szCs w:val="24"/>
        </w:rPr>
        <w:t>jši odrasli iz soseske BS3</w:t>
      </w:r>
      <w:r w:rsidR="00900941" w:rsidRPr="008D5676">
        <w:rPr>
          <w:color w:val="auto"/>
          <w:sz w:val="24"/>
          <w:szCs w:val="24"/>
        </w:rPr>
        <w:t xml:space="preserve">; </w:t>
      </w:r>
      <w:r w:rsidR="00A13E90" w:rsidRPr="00A22320">
        <w:rPr>
          <w:color w:val="auto"/>
          <w:sz w:val="24"/>
          <w:szCs w:val="24"/>
        </w:rPr>
        <w:t>pri</w:t>
      </w:r>
      <w:r w:rsidR="00900941" w:rsidRPr="008D5676">
        <w:rPr>
          <w:color w:val="auto"/>
          <w:sz w:val="24"/>
          <w:szCs w:val="24"/>
        </w:rPr>
        <w:t xml:space="preserve"> dejavnostih sodeluje le </w:t>
      </w:r>
      <w:r w:rsidRPr="008D5676">
        <w:rPr>
          <w:color w:val="auto"/>
          <w:sz w:val="24"/>
          <w:szCs w:val="24"/>
        </w:rPr>
        <w:t>13</w:t>
      </w:r>
      <w:r w:rsidR="00A13E90" w:rsidRPr="00A22320">
        <w:rPr>
          <w:color w:val="auto"/>
          <w:sz w:val="24"/>
          <w:szCs w:val="24"/>
        </w:rPr>
        <w:t xml:space="preserve"> </w:t>
      </w:r>
      <w:r w:rsidRPr="008D5676">
        <w:rPr>
          <w:color w:val="auto"/>
          <w:sz w:val="24"/>
          <w:szCs w:val="24"/>
        </w:rPr>
        <w:t>% moških</w:t>
      </w:r>
      <w:r w:rsidR="00DE34B7" w:rsidRPr="008D5676">
        <w:rPr>
          <w:color w:val="auto"/>
          <w:sz w:val="24"/>
          <w:szCs w:val="24"/>
        </w:rPr>
        <w:t xml:space="preserve">. Center </w:t>
      </w:r>
      <w:r w:rsidR="00E25CC1" w:rsidRPr="008D5676">
        <w:rPr>
          <w:color w:val="auto"/>
          <w:sz w:val="24"/>
          <w:szCs w:val="24"/>
        </w:rPr>
        <w:t xml:space="preserve">so opredeljevali kot </w:t>
      </w:r>
      <w:r w:rsidR="00DE34B7" w:rsidRPr="008D5676">
        <w:rPr>
          <w:color w:val="auto"/>
          <w:sz w:val="24"/>
          <w:szCs w:val="24"/>
        </w:rPr>
        <w:t xml:space="preserve">vključujoč, bogat in </w:t>
      </w:r>
      <w:r w:rsidR="00A13E90" w:rsidRPr="00A22320">
        <w:rPr>
          <w:color w:val="auto"/>
          <w:sz w:val="24"/>
          <w:szCs w:val="24"/>
        </w:rPr>
        <w:t>s</w:t>
      </w:r>
      <w:r w:rsidR="00DE34B7" w:rsidRPr="008D5676">
        <w:rPr>
          <w:color w:val="auto"/>
          <w:sz w:val="24"/>
          <w:szCs w:val="24"/>
        </w:rPr>
        <w:t>podbujajoč prostor z brezplačnimi aktivnostmi, kjer je mo</w:t>
      </w:r>
      <w:r w:rsidR="00A13E90" w:rsidRPr="00A22320">
        <w:rPr>
          <w:color w:val="auto"/>
          <w:sz w:val="24"/>
          <w:szCs w:val="24"/>
        </w:rPr>
        <w:t>goče</w:t>
      </w:r>
      <w:r w:rsidR="00DE34B7" w:rsidRPr="008D5676">
        <w:rPr>
          <w:color w:val="auto"/>
          <w:sz w:val="24"/>
          <w:szCs w:val="24"/>
        </w:rPr>
        <w:t xml:space="preserve"> presegati individualizem in osamljenost ter pridobivati z vključevanjem, srečevanjem, skupnimi aktivnostmi, pogovori </w:t>
      </w:r>
      <w:r w:rsidR="00A13E90" w:rsidRPr="00A22320">
        <w:rPr>
          <w:color w:val="auto"/>
          <w:sz w:val="24"/>
          <w:szCs w:val="24"/>
        </w:rPr>
        <w:t xml:space="preserve">in </w:t>
      </w:r>
      <w:r w:rsidR="00DE34B7" w:rsidRPr="008D5676">
        <w:rPr>
          <w:color w:val="auto"/>
          <w:sz w:val="24"/>
          <w:szCs w:val="24"/>
        </w:rPr>
        <w:t xml:space="preserve">tudi </w:t>
      </w:r>
      <w:r w:rsidR="00A13E90" w:rsidRPr="00A22320">
        <w:rPr>
          <w:color w:val="auto"/>
          <w:sz w:val="24"/>
          <w:szCs w:val="24"/>
        </w:rPr>
        <w:t xml:space="preserve">z </w:t>
      </w:r>
      <w:r w:rsidR="00DE34B7" w:rsidRPr="008D5676">
        <w:rPr>
          <w:color w:val="auto"/>
          <w:sz w:val="24"/>
          <w:szCs w:val="24"/>
        </w:rPr>
        <w:t>medgeneracijski</w:t>
      </w:r>
      <w:r w:rsidR="00E25CC1" w:rsidRPr="008D5676">
        <w:rPr>
          <w:color w:val="auto"/>
          <w:sz w:val="24"/>
          <w:szCs w:val="24"/>
        </w:rPr>
        <w:t>m</w:t>
      </w:r>
      <w:r w:rsidR="00DE34B7" w:rsidRPr="008D5676">
        <w:rPr>
          <w:color w:val="auto"/>
          <w:sz w:val="24"/>
          <w:szCs w:val="24"/>
        </w:rPr>
        <w:t xml:space="preserve"> sodelovanjem itn., kar dosegajo zlasti </w:t>
      </w:r>
      <w:r w:rsidR="00E25CC1" w:rsidRPr="008D5676">
        <w:rPr>
          <w:color w:val="auto"/>
          <w:sz w:val="24"/>
          <w:szCs w:val="24"/>
        </w:rPr>
        <w:t>s participativnimi</w:t>
      </w:r>
      <w:r w:rsidR="00DE34B7" w:rsidRPr="008D5676">
        <w:rPr>
          <w:color w:val="auto"/>
          <w:sz w:val="24"/>
          <w:szCs w:val="24"/>
        </w:rPr>
        <w:t xml:space="preserve"> pristop</w:t>
      </w:r>
      <w:r w:rsidR="00E25CC1" w:rsidRPr="008D5676">
        <w:rPr>
          <w:color w:val="auto"/>
          <w:sz w:val="24"/>
          <w:szCs w:val="24"/>
        </w:rPr>
        <w:t>i</w:t>
      </w:r>
      <w:r w:rsidR="00DE34B7" w:rsidRPr="008D5676">
        <w:rPr>
          <w:color w:val="auto"/>
          <w:sz w:val="24"/>
          <w:szCs w:val="24"/>
        </w:rPr>
        <w:t xml:space="preserve"> pri izbiri in izvajanju programa. </w:t>
      </w:r>
      <w:r w:rsidR="004D412B" w:rsidRPr="008D5676">
        <w:rPr>
          <w:color w:val="auto"/>
          <w:sz w:val="24"/>
          <w:szCs w:val="24"/>
        </w:rPr>
        <w:t>U</w:t>
      </w:r>
      <w:r w:rsidR="0028474A" w:rsidRPr="008D5676">
        <w:rPr>
          <w:color w:val="auto"/>
          <w:sz w:val="24"/>
          <w:szCs w:val="24"/>
        </w:rPr>
        <w:t>deleženci FS2</w:t>
      </w:r>
      <w:r w:rsidR="004D412B" w:rsidRPr="008D5676">
        <w:rPr>
          <w:color w:val="auto"/>
          <w:sz w:val="24"/>
          <w:szCs w:val="24"/>
        </w:rPr>
        <w:t xml:space="preserve"> so prav nasprotno svojo sosesko oz.</w:t>
      </w:r>
      <w:r w:rsidR="0028474A" w:rsidRPr="008D5676">
        <w:rPr>
          <w:color w:val="auto"/>
          <w:sz w:val="24"/>
          <w:szCs w:val="24"/>
        </w:rPr>
        <w:t xml:space="preserve"> naselje BS3 ter posamezne bloke v</w:t>
      </w:r>
      <w:r w:rsidR="0002567B" w:rsidRPr="008D5676">
        <w:rPr>
          <w:color w:val="auto"/>
          <w:sz w:val="24"/>
          <w:szCs w:val="24"/>
        </w:rPr>
        <w:t xml:space="preserve"> </w:t>
      </w:r>
      <w:r w:rsidR="0028474A" w:rsidRPr="008D5676">
        <w:rPr>
          <w:color w:val="auto"/>
          <w:sz w:val="24"/>
          <w:szCs w:val="24"/>
        </w:rPr>
        <w:t xml:space="preserve">naselju </w:t>
      </w:r>
      <w:r w:rsidR="00E25CC1" w:rsidRPr="008D5676">
        <w:rPr>
          <w:color w:val="auto"/>
          <w:sz w:val="24"/>
          <w:szCs w:val="24"/>
        </w:rPr>
        <w:t xml:space="preserve">ocenjevali </w:t>
      </w:r>
      <w:r w:rsidR="0028474A" w:rsidRPr="008D5676">
        <w:rPr>
          <w:color w:val="auto"/>
          <w:sz w:val="24"/>
          <w:szCs w:val="24"/>
        </w:rPr>
        <w:t xml:space="preserve">kot </w:t>
      </w:r>
      <w:r w:rsidR="00DE34B7" w:rsidRPr="008D5676">
        <w:rPr>
          <w:color w:val="auto"/>
          <w:sz w:val="24"/>
          <w:szCs w:val="24"/>
        </w:rPr>
        <w:t>alienirano in izrazito nepovezano</w:t>
      </w:r>
      <w:r w:rsidR="00E25CC1" w:rsidRPr="008D5676">
        <w:rPr>
          <w:color w:val="auto"/>
          <w:sz w:val="24"/>
          <w:szCs w:val="24"/>
        </w:rPr>
        <w:t xml:space="preserve"> okolje</w:t>
      </w:r>
      <w:r w:rsidR="00DE34B7" w:rsidRPr="008D5676">
        <w:rPr>
          <w:color w:val="auto"/>
          <w:sz w:val="24"/>
          <w:szCs w:val="24"/>
        </w:rPr>
        <w:t>, k</w:t>
      </w:r>
      <w:r w:rsidR="00A13E90" w:rsidRPr="00A22320">
        <w:rPr>
          <w:color w:val="auto"/>
          <w:sz w:val="24"/>
          <w:szCs w:val="24"/>
        </w:rPr>
        <w:t>a</w:t>
      </w:r>
      <w:r w:rsidR="00DE34B7" w:rsidRPr="008D5676">
        <w:rPr>
          <w:color w:val="auto"/>
          <w:sz w:val="24"/>
          <w:szCs w:val="24"/>
        </w:rPr>
        <w:t xml:space="preserve">r je </w:t>
      </w:r>
      <w:r w:rsidR="0028474A" w:rsidRPr="008D5676">
        <w:rPr>
          <w:color w:val="auto"/>
          <w:sz w:val="24"/>
          <w:szCs w:val="24"/>
        </w:rPr>
        <w:t xml:space="preserve">tudi sicer </w:t>
      </w:r>
      <w:r w:rsidR="00DE34B7" w:rsidRPr="008D5676">
        <w:rPr>
          <w:color w:val="auto"/>
          <w:sz w:val="24"/>
          <w:szCs w:val="24"/>
        </w:rPr>
        <w:t xml:space="preserve">značilno za Ljubljano. </w:t>
      </w:r>
      <w:r w:rsidR="00A13E90" w:rsidRPr="00A22320">
        <w:rPr>
          <w:color w:val="auto"/>
          <w:sz w:val="24"/>
          <w:szCs w:val="24"/>
        </w:rPr>
        <w:t>Omenjene</w:t>
      </w:r>
      <w:r w:rsidR="00DE34B7" w:rsidRPr="008D5676">
        <w:rPr>
          <w:color w:val="auto"/>
          <w:sz w:val="24"/>
          <w:szCs w:val="24"/>
        </w:rPr>
        <w:t xml:space="preserve"> so bile številne možnosti, ki jih imajo starejši moški v neposrednem okolju in h katerim jih </w:t>
      </w:r>
      <w:r w:rsidR="00A13E90" w:rsidRPr="00A22320">
        <w:rPr>
          <w:color w:val="auto"/>
          <w:sz w:val="24"/>
          <w:szCs w:val="24"/>
        </w:rPr>
        <w:t>s</w:t>
      </w:r>
      <w:r w:rsidR="004D412B" w:rsidRPr="008D5676">
        <w:rPr>
          <w:color w:val="auto"/>
          <w:sz w:val="24"/>
          <w:szCs w:val="24"/>
        </w:rPr>
        <w:t xml:space="preserve">podbuja in nagovarja tudi </w:t>
      </w:r>
      <w:r w:rsidR="00DE34B7" w:rsidRPr="008D5676">
        <w:rPr>
          <w:color w:val="auto"/>
          <w:sz w:val="24"/>
          <w:szCs w:val="24"/>
        </w:rPr>
        <w:t xml:space="preserve">DCA. Med najbolj pereče probleme v skupnosti so bili uvrščeni: a) finančna stiska (predvsem z vidika zdravstvene oskrbe, vzdrževanja lastnih stanovanj, sramotnih pokojnin in revščine </w:t>
      </w:r>
      <w:r w:rsidR="00A13E90" w:rsidRPr="00A22320">
        <w:rPr>
          <w:color w:val="auto"/>
          <w:sz w:val="24"/>
          <w:szCs w:val="24"/>
        </w:rPr>
        <w:t>na</w:t>
      </w:r>
      <w:r w:rsidR="00DE34B7" w:rsidRPr="008D5676">
        <w:rPr>
          <w:color w:val="auto"/>
          <w:sz w:val="24"/>
          <w:szCs w:val="24"/>
        </w:rPr>
        <w:t xml:space="preserve"> splošn</w:t>
      </w:r>
      <w:r w:rsidR="00A13E90" w:rsidRPr="00A22320">
        <w:rPr>
          <w:color w:val="auto"/>
          <w:sz w:val="24"/>
          <w:szCs w:val="24"/>
        </w:rPr>
        <w:t>o</w:t>
      </w:r>
      <w:r w:rsidR="00DE34B7" w:rsidRPr="008D5676">
        <w:rPr>
          <w:color w:val="auto"/>
          <w:sz w:val="24"/>
          <w:szCs w:val="24"/>
        </w:rPr>
        <w:t>, zaradi česar so lahko aktivni samo na brezplačnih dejavnostih in nikjer drug</w:t>
      </w:r>
      <w:r w:rsidR="009102DD" w:rsidRPr="008D5676">
        <w:rPr>
          <w:color w:val="auto"/>
          <w:sz w:val="24"/>
          <w:szCs w:val="24"/>
        </w:rPr>
        <w:t>je</w:t>
      </w:r>
      <w:r w:rsidR="00DE34B7" w:rsidRPr="008D5676">
        <w:rPr>
          <w:color w:val="auto"/>
          <w:sz w:val="24"/>
          <w:szCs w:val="24"/>
        </w:rPr>
        <w:t>); b) zdravstvo (čakalne dobe, plačljive zdravstvene storitve ipd.); c) funkcionalna pismenost (brati napotnice, navodila pri jemanju zdravil), d) izoliranost, samota in demenca; e) upokojitev kot mrtva točka (nisi več nihče). Udeleženci so nakazali celo vrsto pobud in tudi primerov dobrih praks, ki bi jih morala podpreti država z dodatnim financiranj</w:t>
      </w:r>
      <w:r w:rsidR="00A13E90" w:rsidRPr="00A22320">
        <w:rPr>
          <w:color w:val="auto"/>
          <w:sz w:val="24"/>
          <w:szCs w:val="24"/>
        </w:rPr>
        <w:t>em</w:t>
      </w:r>
      <w:r w:rsidR="00DE34B7" w:rsidRPr="008D5676">
        <w:rPr>
          <w:color w:val="auto"/>
          <w:sz w:val="24"/>
          <w:szCs w:val="24"/>
        </w:rPr>
        <w:t xml:space="preserve">, novimi možnostmi, dodatnim informiranjem in novim pristopom do starejših moških: potencial upokojenih strokovnjakov; potencial starejših moških v delu za skupnost, prostovoljnem delu (tudi fizično delo, če </w:t>
      </w:r>
      <w:r w:rsidR="0002567B" w:rsidRPr="008D5676">
        <w:rPr>
          <w:color w:val="auto"/>
          <w:sz w:val="24"/>
          <w:szCs w:val="24"/>
        </w:rPr>
        <w:t>jih je poklicno opredeljevalo).</w:t>
      </w:r>
    </w:p>
    <w:p w:rsidR="009102DD" w:rsidRDefault="009102DD" w:rsidP="00972266">
      <w:pPr>
        <w:spacing w:after="120" w:line="276" w:lineRule="auto"/>
        <w:jc w:val="both"/>
        <w:rPr>
          <w:rFonts w:cs="Times New Roman"/>
          <w:color w:val="auto"/>
          <w:sz w:val="24"/>
          <w:szCs w:val="24"/>
        </w:rPr>
      </w:pPr>
      <w:r w:rsidRPr="008D5676">
        <w:rPr>
          <w:rFonts w:cs="Times New Roman"/>
          <w:b/>
          <w:color w:val="auto"/>
          <w:sz w:val="24"/>
          <w:szCs w:val="24"/>
        </w:rPr>
        <w:t>Udeleženci fokusne skupine (FG3) iz Ajdovščin</w:t>
      </w:r>
      <w:r w:rsidR="00A13E90" w:rsidRPr="00A22320">
        <w:rPr>
          <w:rFonts w:cs="Times New Roman"/>
          <w:b/>
          <w:color w:val="auto"/>
          <w:sz w:val="24"/>
          <w:szCs w:val="24"/>
        </w:rPr>
        <w:t>e</w:t>
      </w:r>
      <w:r w:rsidRPr="008D5676">
        <w:rPr>
          <w:rFonts w:cs="Times New Roman"/>
          <w:color w:val="auto"/>
          <w:sz w:val="24"/>
          <w:szCs w:val="24"/>
        </w:rPr>
        <w:t xml:space="preserve">  so svoje družbeno okolje opredeljevali prek: a) socioloških vidikov in družbenih vrednot (kot so soodločanje, dejavna udeležba, solidarnost, sodelovanje, povezanost, medsebojna podpora ipd.), ne pa z gospodarskim pomanjkanjem, s katerim so se soočali v zadnjih letih; b) najran</w:t>
      </w:r>
      <w:r w:rsidR="003B79E6" w:rsidRPr="00A22320">
        <w:rPr>
          <w:rFonts w:cs="Times New Roman"/>
          <w:color w:val="auto"/>
          <w:sz w:val="24"/>
          <w:szCs w:val="24"/>
        </w:rPr>
        <w:t>l</w:t>
      </w:r>
      <w:r w:rsidRPr="008D5676">
        <w:rPr>
          <w:rFonts w:cs="Times New Roman"/>
          <w:color w:val="auto"/>
          <w:sz w:val="24"/>
          <w:szCs w:val="24"/>
        </w:rPr>
        <w:t xml:space="preserve">jivejših družbenih skupin (vključno s starejšimi odraslimi, migranti in begunci) in preživetvenih strategij, pri čemer so </w:t>
      </w:r>
      <w:r w:rsidR="00A13E90" w:rsidRPr="00A22320">
        <w:rPr>
          <w:rFonts w:cs="Times New Roman"/>
          <w:color w:val="auto"/>
          <w:sz w:val="24"/>
          <w:szCs w:val="24"/>
        </w:rPr>
        <w:t>opozor</w:t>
      </w:r>
      <w:r w:rsidR="00C677BA" w:rsidRPr="008D5676">
        <w:rPr>
          <w:rFonts w:cs="Times New Roman"/>
          <w:color w:val="auto"/>
          <w:sz w:val="24"/>
          <w:szCs w:val="24"/>
        </w:rPr>
        <w:t>ili</w:t>
      </w:r>
      <w:r w:rsidRPr="008D5676">
        <w:rPr>
          <w:rFonts w:cs="Times New Roman"/>
          <w:color w:val="auto"/>
          <w:sz w:val="24"/>
          <w:szCs w:val="24"/>
        </w:rPr>
        <w:t xml:space="preserve"> zlasti </w:t>
      </w:r>
      <w:r w:rsidR="00A13E90" w:rsidRPr="00A22320">
        <w:rPr>
          <w:rFonts w:cs="Times New Roman"/>
          <w:color w:val="auto"/>
          <w:sz w:val="24"/>
          <w:szCs w:val="24"/>
        </w:rPr>
        <w:t xml:space="preserve">na </w:t>
      </w:r>
      <w:r w:rsidRPr="008D5676">
        <w:rPr>
          <w:rFonts w:cs="Times New Roman"/>
          <w:color w:val="auto"/>
          <w:sz w:val="24"/>
          <w:szCs w:val="24"/>
        </w:rPr>
        <w:t xml:space="preserve">revščino vdov, nikoli zaposlenih gospodinj in kmetov; c) </w:t>
      </w:r>
      <w:r w:rsidR="00C22790" w:rsidRPr="008D5676">
        <w:rPr>
          <w:rFonts w:cs="Times New Roman"/>
          <w:color w:val="auto"/>
          <w:sz w:val="24"/>
          <w:szCs w:val="24"/>
        </w:rPr>
        <w:t>poudarjanja ustvarjalnosti</w:t>
      </w:r>
      <w:r w:rsidRPr="008D5676">
        <w:rPr>
          <w:rFonts w:cs="Times New Roman"/>
          <w:color w:val="auto"/>
          <w:sz w:val="24"/>
          <w:szCs w:val="24"/>
        </w:rPr>
        <w:t xml:space="preserve"> kot pomembn</w:t>
      </w:r>
      <w:r w:rsidR="00C22790" w:rsidRPr="008D5676">
        <w:rPr>
          <w:rFonts w:cs="Times New Roman"/>
          <w:color w:val="auto"/>
          <w:sz w:val="24"/>
          <w:szCs w:val="24"/>
        </w:rPr>
        <w:t>ega</w:t>
      </w:r>
      <w:r w:rsidRPr="008D5676">
        <w:rPr>
          <w:rFonts w:cs="Times New Roman"/>
          <w:color w:val="auto"/>
          <w:sz w:val="24"/>
          <w:szCs w:val="24"/>
        </w:rPr>
        <w:t xml:space="preserve"> prispevk</w:t>
      </w:r>
      <w:r w:rsidR="00C22790" w:rsidRPr="008D5676">
        <w:rPr>
          <w:rFonts w:cs="Times New Roman"/>
          <w:color w:val="auto"/>
          <w:sz w:val="24"/>
          <w:szCs w:val="24"/>
        </w:rPr>
        <w:t>a</w:t>
      </w:r>
      <w:r w:rsidRPr="008D5676">
        <w:rPr>
          <w:rFonts w:cs="Times New Roman"/>
          <w:color w:val="auto"/>
          <w:sz w:val="24"/>
          <w:szCs w:val="24"/>
        </w:rPr>
        <w:t xml:space="preserve"> starejših</w:t>
      </w:r>
      <w:r w:rsidR="00D04BDA" w:rsidRPr="008D5676">
        <w:rPr>
          <w:rFonts w:cs="Times New Roman"/>
          <w:color w:val="auto"/>
          <w:sz w:val="24"/>
          <w:szCs w:val="24"/>
        </w:rPr>
        <w:t xml:space="preserve"> odraslih k razvoju skupnosti. O p</w:t>
      </w:r>
      <w:r w:rsidRPr="008D5676">
        <w:rPr>
          <w:rFonts w:cs="Times New Roman"/>
          <w:color w:val="auto"/>
          <w:sz w:val="24"/>
          <w:szCs w:val="24"/>
        </w:rPr>
        <w:t xml:space="preserve">roblemih, izzivih in vizijah za dostojno življenje starejših odraslih in </w:t>
      </w:r>
      <w:r w:rsidR="00D04BDA" w:rsidRPr="008D5676">
        <w:rPr>
          <w:rFonts w:cs="Times New Roman"/>
          <w:color w:val="auto"/>
          <w:sz w:val="24"/>
          <w:szCs w:val="24"/>
        </w:rPr>
        <w:t xml:space="preserve">za </w:t>
      </w:r>
      <w:r w:rsidRPr="008D5676">
        <w:rPr>
          <w:rFonts w:cs="Times New Roman"/>
          <w:color w:val="auto"/>
          <w:sz w:val="24"/>
          <w:szCs w:val="24"/>
        </w:rPr>
        <w:t xml:space="preserve">njihovo kakovost življenja so razpravljali </w:t>
      </w:r>
      <w:r w:rsidR="00D04BDA" w:rsidRPr="008D5676">
        <w:rPr>
          <w:rFonts w:cs="Times New Roman"/>
          <w:color w:val="auto"/>
          <w:sz w:val="24"/>
          <w:szCs w:val="24"/>
        </w:rPr>
        <w:t xml:space="preserve">predvsem </w:t>
      </w:r>
      <w:r w:rsidR="000A4F75" w:rsidRPr="008D5676">
        <w:rPr>
          <w:rFonts w:cs="Times New Roman"/>
          <w:color w:val="auto"/>
          <w:sz w:val="24"/>
          <w:szCs w:val="24"/>
        </w:rPr>
        <w:t>z</w:t>
      </w:r>
      <w:r w:rsidRPr="008D5676">
        <w:rPr>
          <w:rFonts w:cs="Times New Roman"/>
          <w:color w:val="auto"/>
          <w:sz w:val="24"/>
          <w:szCs w:val="24"/>
        </w:rPr>
        <w:t xml:space="preserve"> različnih vidikov mobilnosti in nege ter s </w:t>
      </w:r>
      <w:r w:rsidR="00D04BDA" w:rsidRPr="008D5676">
        <w:rPr>
          <w:rFonts w:cs="Times New Roman"/>
          <w:color w:val="auto"/>
          <w:sz w:val="24"/>
          <w:szCs w:val="24"/>
        </w:rPr>
        <w:t>spoznanjem</w:t>
      </w:r>
      <w:r w:rsidRPr="008D5676">
        <w:rPr>
          <w:rFonts w:cs="Times New Roman"/>
          <w:color w:val="auto"/>
          <w:sz w:val="24"/>
          <w:szCs w:val="24"/>
        </w:rPr>
        <w:t xml:space="preserve">, da starejši potrebujejo boljši dostop do informacij o socialnih, kulturnih in drugih dejavnostih. Priložnosti za skupnosti prakse so bile večinoma vidne </w:t>
      </w:r>
      <w:r w:rsidR="000A4F75" w:rsidRPr="008D5676">
        <w:rPr>
          <w:rFonts w:cs="Times New Roman"/>
          <w:color w:val="auto"/>
          <w:sz w:val="24"/>
          <w:szCs w:val="24"/>
        </w:rPr>
        <w:t>v</w:t>
      </w:r>
      <w:r w:rsidR="00A13E90" w:rsidRPr="00A22320">
        <w:rPr>
          <w:rFonts w:cs="Times New Roman"/>
          <w:color w:val="auto"/>
          <w:sz w:val="24"/>
          <w:szCs w:val="24"/>
        </w:rPr>
        <w:t>:</w:t>
      </w:r>
      <w:r w:rsidR="000A4F75" w:rsidRPr="008D5676">
        <w:rPr>
          <w:rFonts w:cs="Times New Roman"/>
          <w:color w:val="auto"/>
          <w:sz w:val="24"/>
          <w:szCs w:val="24"/>
        </w:rPr>
        <w:t xml:space="preserve"> a) </w:t>
      </w:r>
      <w:r w:rsidRPr="008D5676">
        <w:rPr>
          <w:rFonts w:cs="Times New Roman"/>
          <w:color w:val="auto"/>
          <w:sz w:val="24"/>
          <w:szCs w:val="24"/>
        </w:rPr>
        <w:t>že obstoječih in raznovrstnih programih izobraževanja in usposabljanja; b)</w:t>
      </w:r>
      <w:r w:rsidR="000A4F75" w:rsidRPr="008D5676">
        <w:rPr>
          <w:rFonts w:cs="Times New Roman"/>
          <w:color w:val="auto"/>
          <w:sz w:val="24"/>
          <w:szCs w:val="24"/>
        </w:rPr>
        <w:t xml:space="preserve"> </w:t>
      </w:r>
      <w:r w:rsidRPr="008D5676">
        <w:rPr>
          <w:rFonts w:cs="Times New Roman"/>
          <w:color w:val="auto"/>
          <w:sz w:val="24"/>
          <w:szCs w:val="24"/>
        </w:rPr>
        <w:t>obveščanj</w:t>
      </w:r>
      <w:r w:rsidR="000A4F75" w:rsidRPr="008D5676">
        <w:rPr>
          <w:rFonts w:cs="Times New Roman"/>
          <w:color w:val="auto"/>
          <w:sz w:val="24"/>
          <w:szCs w:val="24"/>
        </w:rPr>
        <w:t>u in ozaveščanju</w:t>
      </w:r>
      <w:r w:rsidRPr="008D5676">
        <w:rPr>
          <w:rFonts w:cs="Times New Roman"/>
          <w:color w:val="auto"/>
          <w:sz w:val="24"/>
          <w:szCs w:val="24"/>
        </w:rPr>
        <w:t xml:space="preserve"> o teh programih za starejše moške; in c) </w:t>
      </w:r>
      <w:r w:rsidR="000A4F75" w:rsidRPr="008D5676">
        <w:rPr>
          <w:rFonts w:cs="Times New Roman"/>
          <w:color w:val="auto"/>
          <w:sz w:val="24"/>
          <w:szCs w:val="24"/>
        </w:rPr>
        <w:t>premislekih</w:t>
      </w:r>
      <w:r w:rsidRPr="008D5676">
        <w:rPr>
          <w:rFonts w:cs="Times New Roman"/>
          <w:color w:val="auto"/>
          <w:sz w:val="24"/>
          <w:szCs w:val="24"/>
        </w:rPr>
        <w:t xml:space="preserve"> o alternativnih dejavnostih za starejše moške v njihovem </w:t>
      </w:r>
      <w:r w:rsidR="00A13E90" w:rsidRPr="00A22320">
        <w:rPr>
          <w:rFonts w:cs="Times New Roman"/>
          <w:color w:val="auto"/>
          <w:sz w:val="24"/>
          <w:szCs w:val="24"/>
        </w:rPr>
        <w:t>poz</w:t>
      </w:r>
      <w:r w:rsidRPr="008D5676">
        <w:rPr>
          <w:rFonts w:cs="Times New Roman"/>
          <w:color w:val="auto"/>
          <w:sz w:val="24"/>
          <w:szCs w:val="24"/>
        </w:rPr>
        <w:t>nejšem življenju. V zvezi s tem so poudarili tudi pomen ozaveščanja starejših moških o prednostih iskanja in vključevanja v nov</w:t>
      </w:r>
      <w:r w:rsidR="00A13E90" w:rsidRPr="00A22320">
        <w:rPr>
          <w:rFonts w:cs="Times New Roman"/>
          <w:color w:val="auto"/>
          <w:sz w:val="24"/>
          <w:szCs w:val="24"/>
        </w:rPr>
        <w:t>a</w:t>
      </w:r>
      <w:r w:rsidR="000A4F75" w:rsidRPr="008D5676">
        <w:rPr>
          <w:rFonts w:cs="Times New Roman"/>
          <w:color w:val="auto"/>
          <w:sz w:val="24"/>
          <w:szCs w:val="24"/>
        </w:rPr>
        <w:t xml:space="preserve"> družben</w:t>
      </w:r>
      <w:r w:rsidR="00A13E90" w:rsidRPr="00A22320">
        <w:rPr>
          <w:rFonts w:cs="Times New Roman"/>
          <w:color w:val="auto"/>
          <w:sz w:val="24"/>
          <w:szCs w:val="24"/>
        </w:rPr>
        <w:t>a okolja</w:t>
      </w:r>
      <w:r w:rsidR="000A4F75" w:rsidRPr="008D5676">
        <w:rPr>
          <w:rFonts w:cs="Times New Roman"/>
          <w:color w:val="auto"/>
          <w:sz w:val="24"/>
          <w:szCs w:val="24"/>
        </w:rPr>
        <w:t xml:space="preserve"> (socialno okolje) </w:t>
      </w:r>
      <w:r w:rsidRPr="008D5676">
        <w:rPr>
          <w:rFonts w:cs="Times New Roman"/>
          <w:color w:val="auto"/>
          <w:sz w:val="24"/>
          <w:szCs w:val="24"/>
        </w:rPr>
        <w:t xml:space="preserve">že </w:t>
      </w:r>
      <w:r w:rsidR="00972266" w:rsidRPr="00A22320">
        <w:rPr>
          <w:rFonts w:cs="Times New Roman"/>
          <w:color w:val="auto"/>
          <w:sz w:val="24"/>
          <w:szCs w:val="24"/>
        </w:rPr>
        <w:t>ob</w:t>
      </w:r>
      <w:r w:rsidRPr="008D5676">
        <w:rPr>
          <w:rFonts w:cs="Times New Roman"/>
          <w:color w:val="auto"/>
          <w:sz w:val="24"/>
          <w:szCs w:val="24"/>
        </w:rPr>
        <w:t xml:space="preserve"> upokojitv</w:t>
      </w:r>
      <w:r w:rsidR="00972266" w:rsidRPr="00A22320">
        <w:rPr>
          <w:rFonts w:cs="Times New Roman"/>
          <w:color w:val="auto"/>
          <w:sz w:val="24"/>
          <w:szCs w:val="24"/>
        </w:rPr>
        <w:t>i</w:t>
      </w:r>
      <w:r w:rsidRPr="008D5676">
        <w:rPr>
          <w:rFonts w:cs="Times New Roman"/>
          <w:color w:val="auto"/>
          <w:sz w:val="24"/>
          <w:szCs w:val="24"/>
        </w:rPr>
        <w:t>. Izrazili so močno pripravljenost za prenos dobrih praks v njihovo lokalno okolje</w:t>
      </w:r>
      <w:r w:rsidR="000A4F75" w:rsidRPr="008D5676">
        <w:rPr>
          <w:rFonts w:cs="Times New Roman"/>
          <w:color w:val="auto"/>
          <w:sz w:val="24"/>
          <w:szCs w:val="24"/>
        </w:rPr>
        <w:t xml:space="preserve"> (glej Gregorčič, 2017)</w:t>
      </w:r>
      <w:r w:rsidRPr="008D5676">
        <w:rPr>
          <w:rFonts w:cs="Times New Roman"/>
          <w:color w:val="auto"/>
          <w:sz w:val="24"/>
          <w:szCs w:val="24"/>
        </w:rPr>
        <w:t>.</w:t>
      </w:r>
    </w:p>
    <w:p w:rsidR="0037379A" w:rsidRDefault="0037379A" w:rsidP="000956A4">
      <w:pPr>
        <w:spacing w:after="120" w:line="276" w:lineRule="auto"/>
        <w:ind w:left="709"/>
        <w:jc w:val="both"/>
        <w:rPr>
          <w:rFonts w:cs="Arial"/>
          <w:color w:val="auto"/>
          <w:sz w:val="24"/>
          <w:szCs w:val="24"/>
        </w:rPr>
      </w:pPr>
      <w:bookmarkStart w:id="0" w:name="_GoBack"/>
      <w:bookmarkEnd w:id="0"/>
    </w:p>
    <w:p w:rsidR="00A95188" w:rsidRPr="008D5676" w:rsidRDefault="00A95188" w:rsidP="00E8064B">
      <w:pPr>
        <w:pStyle w:val="nagwek1"/>
        <w:spacing w:line="276" w:lineRule="auto"/>
        <w:rPr>
          <w:rFonts w:asciiTheme="minorHAnsi" w:hAnsiTheme="minorHAnsi"/>
          <w:b/>
          <w:sz w:val="24"/>
          <w:szCs w:val="24"/>
        </w:rPr>
      </w:pPr>
      <w:r w:rsidRPr="00D60DC3">
        <w:rPr>
          <w:rFonts w:asciiTheme="minorHAnsi" w:hAnsiTheme="minorHAnsi"/>
          <w:b/>
          <w:sz w:val="24"/>
          <w:szCs w:val="24"/>
        </w:rPr>
        <w:lastRenderedPageBreak/>
        <w:t xml:space="preserve">5 splošna priporočila za lokalne oblasti v sloveniji </w:t>
      </w:r>
    </w:p>
    <w:p w:rsidR="00A95188" w:rsidRPr="008D5676" w:rsidRDefault="00CE4858" w:rsidP="000956A4">
      <w:pPr>
        <w:spacing w:after="120" w:line="276" w:lineRule="auto"/>
        <w:jc w:val="both"/>
        <w:rPr>
          <w:rFonts w:cs="Arial"/>
          <w:color w:val="auto"/>
          <w:sz w:val="24"/>
          <w:szCs w:val="24"/>
        </w:rPr>
      </w:pPr>
      <w:r w:rsidRPr="008D5676">
        <w:rPr>
          <w:rFonts w:cs="Arial"/>
          <w:color w:val="auto"/>
          <w:sz w:val="24"/>
          <w:szCs w:val="24"/>
        </w:rPr>
        <w:t>1</w:t>
      </w:r>
      <w:r w:rsidR="000956A4" w:rsidRPr="00D60DC3">
        <w:rPr>
          <w:rFonts w:cs="Arial"/>
          <w:color w:val="auto"/>
          <w:sz w:val="24"/>
          <w:szCs w:val="24"/>
        </w:rPr>
        <w:t>.</w:t>
      </w:r>
      <w:r w:rsidRPr="008D5676">
        <w:rPr>
          <w:rFonts w:cs="Arial"/>
          <w:color w:val="auto"/>
          <w:sz w:val="24"/>
          <w:szCs w:val="24"/>
        </w:rPr>
        <w:t xml:space="preserve"> </w:t>
      </w:r>
      <w:r w:rsidR="00E54927" w:rsidRPr="008D5676">
        <w:rPr>
          <w:rFonts w:cs="Arial"/>
          <w:color w:val="auto"/>
          <w:sz w:val="24"/>
          <w:szCs w:val="24"/>
        </w:rPr>
        <w:t>V okviru nacionalnih strategij in akcijskih načrtov</w:t>
      </w:r>
      <w:r w:rsidR="000956A4" w:rsidRPr="00D60DC3">
        <w:rPr>
          <w:rFonts w:cs="Arial"/>
          <w:color w:val="auto"/>
          <w:sz w:val="24"/>
          <w:szCs w:val="24"/>
        </w:rPr>
        <w:t>, ki jih pripravljajo</w:t>
      </w:r>
      <w:r w:rsidR="00E54927" w:rsidRPr="008D5676">
        <w:rPr>
          <w:rFonts w:cs="Arial"/>
          <w:color w:val="auto"/>
          <w:sz w:val="24"/>
          <w:szCs w:val="24"/>
        </w:rPr>
        <w:t xml:space="preserve"> </w:t>
      </w:r>
      <w:r w:rsidR="000956A4" w:rsidRPr="00D60DC3">
        <w:rPr>
          <w:rFonts w:cs="Arial"/>
          <w:color w:val="auto"/>
          <w:sz w:val="24"/>
          <w:szCs w:val="24"/>
        </w:rPr>
        <w:t>posamezna</w:t>
      </w:r>
      <w:r w:rsidR="00E54927" w:rsidRPr="008D5676">
        <w:rPr>
          <w:rFonts w:cs="Arial"/>
          <w:color w:val="auto"/>
          <w:sz w:val="24"/>
          <w:szCs w:val="24"/>
        </w:rPr>
        <w:t xml:space="preserve"> ministrst</w:t>
      </w:r>
      <w:r w:rsidR="000956A4" w:rsidRPr="00D60DC3">
        <w:rPr>
          <w:rFonts w:cs="Arial"/>
          <w:color w:val="auto"/>
          <w:sz w:val="24"/>
          <w:szCs w:val="24"/>
        </w:rPr>
        <w:t>va,</w:t>
      </w:r>
      <w:r w:rsidR="00E54927" w:rsidRPr="008D5676">
        <w:rPr>
          <w:rFonts w:cs="Arial"/>
          <w:color w:val="auto"/>
          <w:sz w:val="24"/>
          <w:szCs w:val="24"/>
        </w:rPr>
        <w:t xml:space="preserve"> bi morali lokalni organi podpirati implementacijo predpisov, ki odgovarja</w:t>
      </w:r>
      <w:r w:rsidR="000956A4" w:rsidRPr="00D60DC3">
        <w:rPr>
          <w:rFonts w:cs="Arial"/>
          <w:color w:val="auto"/>
          <w:sz w:val="24"/>
          <w:szCs w:val="24"/>
        </w:rPr>
        <w:t>jo</w:t>
      </w:r>
      <w:r w:rsidR="00E54927" w:rsidRPr="008D5676">
        <w:rPr>
          <w:rFonts w:cs="Arial"/>
          <w:color w:val="auto"/>
          <w:sz w:val="24"/>
          <w:szCs w:val="24"/>
        </w:rPr>
        <w:t xml:space="preserve"> na: </w:t>
      </w:r>
    </w:p>
    <w:p w:rsidR="00A95188" w:rsidRPr="008D5676" w:rsidRDefault="00A95188" w:rsidP="00A95188">
      <w:pPr>
        <w:spacing w:line="276" w:lineRule="auto"/>
        <w:ind w:left="709"/>
        <w:jc w:val="both"/>
        <w:rPr>
          <w:rFonts w:cs="Arial"/>
          <w:color w:val="auto"/>
          <w:sz w:val="24"/>
          <w:szCs w:val="24"/>
        </w:rPr>
      </w:pPr>
      <w:r w:rsidRPr="008D5676">
        <w:rPr>
          <w:rFonts w:cs="Arial"/>
          <w:color w:val="auto"/>
          <w:sz w:val="24"/>
          <w:szCs w:val="24"/>
        </w:rPr>
        <w:t xml:space="preserve">a) </w:t>
      </w:r>
      <w:r w:rsidR="00E54927" w:rsidRPr="008D5676">
        <w:rPr>
          <w:rFonts w:cs="Arial"/>
          <w:b/>
          <w:color w:val="auto"/>
          <w:sz w:val="24"/>
          <w:szCs w:val="24"/>
        </w:rPr>
        <w:t>fi</w:t>
      </w:r>
      <w:r w:rsidR="00CE4858" w:rsidRPr="008D5676">
        <w:rPr>
          <w:rFonts w:cs="Arial"/>
          <w:b/>
          <w:color w:val="auto"/>
          <w:sz w:val="24"/>
          <w:szCs w:val="24"/>
        </w:rPr>
        <w:t>nančno in materialno ranljivost/prikrajšanost</w:t>
      </w:r>
      <w:r w:rsidR="00E54927" w:rsidRPr="008D5676">
        <w:rPr>
          <w:rFonts w:cs="Arial"/>
          <w:b/>
          <w:color w:val="auto"/>
          <w:sz w:val="24"/>
          <w:szCs w:val="24"/>
        </w:rPr>
        <w:t xml:space="preserve"> starejših</w:t>
      </w:r>
      <w:r w:rsidRPr="008D5676">
        <w:rPr>
          <w:rFonts w:cs="Arial"/>
          <w:b/>
          <w:color w:val="auto"/>
          <w:sz w:val="24"/>
          <w:szCs w:val="24"/>
        </w:rPr>
        <w:t xml:space="preserve"> odraslih</w:t>
      </w:r>
      <w:r w:rsidR="00E54927" w:rsidRPr="008D5676">
        <w:rPr>
          <w:rFonts w:cs="Arial"/>
          <w:color w:val="auto"/>
          <w:sz w:val="24"/>
          <w:szCs w:val="24"/>
        </w:rPr>
        <w:t xml:space="preserve">, </w:t>
      </w:r>
    </w:p>
    <w:p w:rsidR="00A95188" w:rsidRPr="008D5676" w:rsidRDefault="00A95188" w:rsidP="00A95188">
      <w:pPr>
        <w:spacing w:line="276" w:lineRule="auto"/>
        <w:ind w:left="709"/>
        <w:jc w:val="both"/>
        <w:rPr>
          <w:rFonts w:cs="Arial"/>
          <w:color w:val="auto"/>
          <w:sz w:val="24"/>
          <w:szCs w:val="24"/>
        </w:rPr>
      </w:pPr>
      <w:r w:rsidRPr="008D5676">
        <w:rPr>
          <w:rFonts w:cs="Arial"/>
          <w:color w:val="auto"/>
          <w:sz w:val="24"/>
          <w:szCs w:val="24"/>
        </w:rPr>
        <w:t>b</w:t>
      </w:r>
      <w:r w:rsidR="00E54927" w:rsidRPr="008D5676">
        <w:rPr>
          <w:rFonts w:cs="Arial"/>
          <w:color w:val="auto"/>
          <w:sz w:val="24"/>
          <w:szCs w:val="24"/>
        </w:rPr>
        <w:t>) vis</w:t>
      </w:r>
      <w:r w:rsidRPr="008D5676">
        <w:rPr>
          <w:rFonts w:cs="Arial"/>
          <w:color w:val="auto"/>
          <w:sz w:val="24"/>
          <w:szCs w:val="24"/>
        </w:rPr>
        <w:t xml:space="preserve">oko tveganje revščine, </w:t>
      </w:r>
    </w:p>
    <w:p w:rsidR="00A95188" w:rsidRPr="008D5676" w:rsidRDefault="00A95188" w:rsidP="00A95188">
      <w:pPr>
        <w:spacing w:line="276" w:lineRule="auto"/>
        <w:ind w:left="709"/>
        <w:jc w:val="both"/>
        <w:rPr>
          <w:rFonts w:cs="Arial"/>
          <w:color w:val="auto"/>
          <w:sz w:val="24"/>
          <w:szCs w:val="24"/>
        </w:rPr>
      </w:pPr>
      <w:r w:rsidRPr="008D5676">
        <w:rPr>
          <w:rFonts w:cs="Arial"/>
          <w:color w:val="auto"/>
          <w:sz w:val="24"/>
          <w:szCs w:val="24"/>
        </w:rPr>
        <w:t>c</w:t>
      </w:r>
      <w:r w:rsidR="00E54927" w:rsidRPr="008D5676">
        <w:rPr>
          <w:rFonts w:cs="Arial"/>
          <w:color w:val="auto"/>
          <w:sz w:val="24"/>
          <w:szCs w:val="24"/>
        </w:rPr>
        <w:t xml:space="preserve">) prostorsko izključevanje, </w:t>
      </w:r>
    </w:p>
    <w:p w:rsidR="00A95188" w:rsidRPr="008D5676" w:rsidRDefault="00A95188" w:rsidP="00A95188">
      <w:pPr>
        <w:spacing w:line="276" w:lineRule="auto"/>
        <w:ind w:left="709"/>
        <w:jc w:val="both"/>
        <w:rPr>
          <w:rFonts w:cs="Arial"/>
          <w:color w:val="auto"/>
          <w:sz w:val="24"/>
          <w:szCs w:val="24"/>
        </w:rPr>
      </w:pPr>
      <w:r w:rsidRPr="008D5676">
        <w:rPr>
          <w:rFonts w:cs="Arial"/>
          <w:color w:val="auto"/>
          <w:sz w:val="24"/>
          <w:szCs w:val="24"/>
        </w:rPr>
        <w:t>d</w:t>
      </w:r>
      <w:r w:rsidR="00E54927" w:rsidRPr="008D5676">
        <w:rPr>
          <w:rFonts w:cs="Arial"/>
          <w:color w:val="auto"/>
          <w:sz w:val="24"/>
          <w:szCs w:val="24"/>
        </w:rPr>
        <w:t>) delovno, socialno in politično participacijo starejših</w:t>
      </w:r>
      <w:r w:rsidRPr="008D5676">
        <w:rPr>
          <w:rFonts w:cs="Arial"/>
          <w:color w:val="auto"/>
          <w:sz w:val="24"/>
          <w:szCs w:val="24"/>
        </w:rPr>
        <w:t xml:space="preserve"> odraslih</w:t>
      </w:r>
      <w:r w:rsidR="00E54927" w:rsidRPr="008D5676">
        <w:rPr>
          <w:rFonts w:cs="Arial"/>
          <w:color w:val="auto"/>
          <w:sz w:val="24"/>
          <w:szCs w:val="24"/>
        </w:rPr>
        <w:t xml:space="preserve">, </w:t>
      </w:r>
    </w:p>
    <w:p w:rsidR="00A95188" w:rsidRPr="008D5676" w:rsidRDefault="00A95188" w:rsidP="000956A4">
      <w:pPr>
        <w:spacing w:line="276" w:lineRule="auto"/>
        <w:ind w:left="709"/>
        <w:jc w:val="both"/>
        <w:rPr>
          <w:rFonts w:cs="Arial"/>
          <w:color w:val="auto"/>
          <w:sz w:val="24"/>
          <w:szCs w:val="24"/>
        </w:rPr>
      </w:pPr>
      <w:r w:rsidRPr="008D5676">
        <w:rPr>
          <w:rFonts w:cs="Arial"/>
          <w:color w:val="auto"/>
          <w:sz w:val="24"/>
          <w:szCs w:val="24"/>
        </w:rPr>
        <w:t>e</w:t>
      </w:r>
      <w:r w:rsidR="00E54927" w:rsidRPr="008D5676">
        <w:rPr>
          <w:rFonts w:cs="Arial"/>
          <w:color w:val="auto"/>
          <w:sz w:val="24"/>
          <w:szCs w:val="24"/>
        </w:rPr>
        <w:t>) več medgeneracijsk</w:t>
      </w:r>
      <w:r w:rsidR="000956A4" w:rsidRPr="00D60DC3">
        <w:rPr>
          <w:rFonts w:cs="Arial"/>
          <w:color w:val="auto"/>
          <w:sz w:val="24"/>
          <w:szCs w:val="24"/>
        </w:rPr>
        <w:t>ega</w:t>
      </w:r>
      <w:r w:rsidR="00E54927" w:rsidRPr="008D5676">
        <w:rPr>
          <w:rFonts w:cs="Arial"/>
          <w:color w:val="auto"/>
          <w:sz w:val="24"/>
          <w:szCs w:val="24"/>
        </w:rPr>
        <w:t xml:space="preserve"> sodelovanj</w:t>
      </w:r>
      <w:r w:rsidR="000956A4" w:rsidRPr="00D60DC3">
        <w:rPr>
          <w:rFonts w:cs="Arial"/>
          <w:color w:val="auto"/>
          <w:sz w:val="24"/>
          <w:szCs w:val="24"/>
        </w:rPr>
        <w:t>a</w:t>
      </w:r>
      <w:r w:rsidR="00E54927" w:rsidRPr="008D5676">
        <w:rPr>
          <w:rFonts w:cs="Arial"/>
          <w:color w:val="auto"/>
          <w:sz w:val="24"/>
          <w:szCs w:val="24"/>
        </w:rPr>
        <w:t xml:space="preserve"> in </w:t>
      </w:r>
    </w:p>
    <w:p w:rsidR="00E54927" w:rsidRPr="008D5676" w:rsidRDefault="00A95188" w:rsidP="00A95188">
      <w:pPr>
        <w:spacing w:after="120" w:line="276" w:lineRule="auto"/>
        <w:ind w:left="709"/>
        <w:jc w:val="both"/>
        <w:rPr>
          <w:rFonts w:cs="Arial"/>
          <w:color w:val="auto"/>
          <w:sz w:val="24"/>
          <w:szCs w:val="24"/>
        </w:rPr>
      </w:pPr>
      <w:r w:rsidRPr="008D5676">
        <w:rPr>
          <w:rFonts w:cs="Arial"/>
          <w:color w:val="auto"/>
          <w:sz w:val="24"/>
          <w:szCs w:val="24"/>
        </w:rPr>
        <w:t>f</w:t>
      </w:r>
      <w:r w:rsidR="00E54927" w:rsidRPr="008D5676">
        <w:rPr>
          <w:rFonts w:cs="Arial"/>
          <w:color w:val="auto"/>
          <w:sz w:val="24"/>
          <w:szCs w:val="24"/>
        </w:rPr>
        <w:t>) ustrezna podporna okolja za druženje in učenje starejših (zlasti moški 60+).</w:t>
      </w:r>
    </w:p>
    <w:p w:rsidR="00E54927" w:rsidRPr="008D5676" w:rsidRDefault="00CE4858" w:rsidP="00074F34">
      <w:pPr>
        <w:spacing w:after="120" w:line="276" w:lineRule="auto"/>
        <w:jc w:val="both"/>
        <w:rPr>
          <w:rFonts w:cs="Arial"/>
          <w:color w:val="auto"/>
          <w:sz w:val="24"/>
          <w:szCs w:val="24"/>
        </w:rPr>
      </w:pPr>
      <w:r w:rsidRPr="008D5676">
        <w:rPr>
          <w:rFonts w:cs="Arial"/>
          <w:color w:val="auto"/>
          <w:sz w:val="24"/>
          <w:szCs w:val="24"/>
        </w:rPr>
        <w:t>2</w:t>
      </w:r>
      <w:r w:rsidR="000956A4" w:rsidRPr="00D60DC3">
        <w:rPr>
          <w:rFonts w:cs="Arial"/>
          <w:color w:val="auto"/>
          <w:sz w:val="24"/>
          <w:szCs w:val="24"/>
        </w:rPr>
        <w:t>.</w:t>
      </w:r>
      <w:r w:rsidRPr="008D5676">
        <w:rPr>
          <w:rFonts w:cs="Arial"/>
          <w:color w:val="auto"/>
          <w:sz w:val="24"/>
          <w:szCs w:val="24"/>
        </w:rPr>
        <w:t xml:space="preserve"> </w:t>
      </w:r>
      <w:r w:rsidR="00E54927" w:rsidRPr="008D5676">
        <w:rPr>
          <w:rFonts w:cs="Arial"/>
          <w:color w:val="auto"/>
          <w:sz w:val="24"/>
          <w:szCs w:val="24"/>
        </w:rPr>
        <w:t xml:space="preserve">Ker je </w:t>
      </w:r>
      <w:r w:rsidR="00E54927" w:rsidRPr="008D5676">
        <w:rPr>
          <w:rFonts w:cs="Arial"/>
          <w:b/>
          <w:color w:val="auto"/>
          <w:sz w:val="24"/>
          <w:szCs w:val="24"/>
        </w:rPr>
        <w:t>upokojitev »točka preloma«</w:t>
      </w:r>
      <w:r w:rsidR="00E54927" w:rsidRPr="008D5676">
        <w:rPr>
          <w:rFonts w:cs="Arial"/>
          <w:color w:val="auto"/>
          <w:sz w:val="24"/>
          <w:szCs w:val="24"/>
        </w:rPr>
        <w:t>, na katero starejši (še zlasti pa moški) niso pripravljeni</w:t>
      </w:r>
      <w:r w:rsidR="000956A4" w:rsidRPr="00D60DC3">
        <w:rPr>
          <w:rFonts w:cs="Arial"/>
          <w:color w:val="auto"/>
          <w:sz w:val="24"/>
          <w:szCs w:val="24"/>
        </w:rPr>
        <w:t>,</w:t>
      </w:r>
      <w:r w:rsidR="00E54927" w:rsidRPr="008D5676">
        <w:rPr>
          <w:rFonts w:cs="Arial"/>
          <w:color w:val="auto"/>
          <w:sz w:val="24"/>
          <w:szCs w:val="24"/>
        </w:rPr>
        <w:t xml:space="preserve"> in ker so bili v Sloveniji </w:t>
      </w:r>
      <w:r w:rsidR="000956A4" w:rsidRPr="00D60DC3">
        <w:rPr>
          <w:rFonts w:cs="Arial"/>
          <w:color w:val="auto"/>
          <w:sz w:val="24"/>
          <w:szCs w:val="24"/>
        </w:rPr>
        <w:t>opušč</w:t>
      </w:r>
      <w:r w:rsidR="00E54927" w:rsidRPr="008D5676">
        <w:rPr>
          <w:rFonts w:cs="Arial"/>
          <w:color w:val="auto"/>
          <w:sz w:val="24"/>
          <w:szCs w:val="24"/>
        </w:rPr>
        <w:t>eni formalni predupokojitveni programi, bi bilo treb</w:t>
      </w:r>
      <w:r w:rsidR="000956A4" w:rsidRPr="00D60DC3">
        <w:rPr>
          <w:rFonts w:cs="Arial"/>
          <w:color w:val="auto"/>
          <w:sz w:val="24"/>
          <w:szCs w:val="24"/>
        </w:rPr>
        <w:t>a</w:t>
      </w:r>
      <w:r w:rsidR="00E54927" w:rsidRPr="008D5676">
        <w:rPr>
          <w:rFonts w:cs="Arial"/>
          <w:color w:val="auto"/>
          <w:sz w:val="24"/>
          <w:szCs w:val="24"/>
        </w:rPr>
        <w:t xml:space="preserve"> v okviru javnih zavodov in prek NVO </w:t>
      </w:r>
      <w:r w:rsidR="000956A4" w:rsidRPr="00D60DC3">
        <w:rPr>
          <w:rFonts w:cs="Arial"/>
          <w:color w:val="auto"/>
          <w:sz w:val="24"/>
          <w:szCs w:val="24"/>
        </w:rPr>
        <w:t>s</w:t>
      </w:r>
      <w:r w:rsidR="00E54927" w:rsidRPr="008D5676">
        <w:rPr>
          <w:rFonts w:cs="Arial"/>
          <w:color w:val="auto"/>
          <w:sz w:val="24"/>
          <w:szCs w:val="24"/>
        </w:rPr>
        <w:t xml:space="preserve">podbujati </w:t>
      </w:r>
      <w:r w:rsidR="00E54927" w:rsidRPr="008D5676">
        <w:rPr>
          <w:rFonts w:cs="Arial"/>
          <w:b/>
          <w:color w:val="auto"/>
          <w:sz w:val="24"/>
          <w:szCs w:val="24"/>
        </w:rPr>
        <w:t>»programe priprave na starost« ter »programe osmišljanja tretjega življenjskega obdobja«</w:t>
      </w:r>
      <w:r w:rsidR="00E54927" w:rsidRPr="008D5676">
        <w:rPr>
          <w:rFonts w:cs="Arial"/>
          <w:color w:val="auto"/>
          <w:sz w:val="24"/>
          <w:szCs w:val="24"/>
        </w:rPr>
        <w:t xml:space="preserve"> za tiste v drugem življenjskem obdobju (ne tik pred upokojitvijo, </w:t>
      </w:r>
      <w:r w:rsidR="000956A4" w:rsidRPr="00D60DC3">
        <w:rPr>
          <w:rFonts w:cs="Arial"/>
          <w:color w:val="auto"/>
          <w:sz w:val="24"/>
          <w:szCs w:val="24"/>
        </w:rPr>
        <w:t>temveč občutno</w:t>
      </w:r>
      <w:r w:rsidR="00E54927" w:rsidRPr="008D5676">
        <w:rPr>
          <w:rFonts w:cs="Arial"/>
          <w:color w:val="auto"/>
          <w:sz w:val="24"/>
          <w:szCs w:val="24"/>
        </w:rPr>
        <w:t xml:space="preserve"> prej). O procesu staranja ter o starosti bi bilo treb</w:t>
      </w:r>
      <w:r w:rsidR="000956A4" w:rsidRPr="00D60DC3">
        <w:rPr>
          <w:rFonts w:cs="Arial"/>
          <w:color w:val="auto"/>
          <w:sz w:val="24"/>
          <w:szCs w:val="24"/>
        </w:rPr>
        <w:t>a</w:t>
      </w:r>
      <w:r w:rsidR="00E54927" w:rsidRPr="008D5676">
        <w:rPr>
          <w:rFonts w:cs="Arial"/>
          <w:color w:val="auto"/>
          <w:sz w:val="24"/>
          <w:szCs w:val="24"/>
        </w:rPr>
        <w:t xml:space="preserve"> informirati in o</w:t>
      </w:r>
      <w:r w:rsidR="000956A4" w:rsidRPr="00D60DC3">
        <w:rPr>
          <w:rFonts w:cs="Arial"/>
          <w:color w:val="auto"/>
          <w:sz w:val="24"/>
          <w:szCs w:val="24"/>
        </w:rPr>
        <w:t>za</w:t>
      </w:r>
      <w:r w:rsidR="00E54927" w:rsidRPr="008D5676">
        <w:rPr>
          <w:rFonts w:cs="Arial"/>
          <w:color w:val="auto"/>
          <w:sz w:val="24"/>
          <w:szCs w:val="24"/>
        </w:rPr>
        <w:t>veščati tudi mlade, saj je raziskava pokazala, da aktivnosti v prvih dveh življenjskih obdobjih odločilno determinirajo tudi kognitivni, socialni in kulturni kapital v tretjem in četrtem življenjskem obdobju, hkrati pa bi se s tem v širši družbi (ne le med starejšimi odraslimi) začel spremin</w:t>
      </w:r>
      <w:r w:rsidR="00074F34" w:rsidRPr="00D60DC3">
        <w:rPr>
          <w:rFonts w:cs="Arial"/>
          <w:color w:val="auto"/>
          <w:sz w:val="24"/>
          <w:szCs w:val="24"/>
        </w:rPr>
        <w:t>j</w:t>
      </w:r>
      <w:r w:rsidR="00E54927" w:rsidRPr="008D5676">
        <w:rPr>
          <w:rFonts w:cs="Arial"/>
          <w:color w:val="auto"/>
          <w:sz w:val="24"/>
          <w:szCs w:val="24"/>
        </w:rPr>
        <w:t>ati tradicional</w:t>
      </w:r>
      <w:r w:rsidR="000956A4" w:rsidRPr="00D60DC3">
        <w:rPr>
          <w:rFonts w:cs="Arial"/>
          <w:color w:val="auto"/>
          <w:sz w:val="24"/>
          <w:szCs w:val="24"/>
        </w:rPr>
        <w:t>ni</w:t>
      </w:r>
      <w:r w:rsidR="00E54927" w:rsidRPr="008D5676">
        <w:rPr>
          <w:rFonts w:cs="Arial"/>
          <w:color w:val="auto"/>
          <w:sz w:val="24"/>
          <w:szCs w:val="24"/>
        </w:rPr>
        <w:t xml:space="preserve"> in stereotip</w:t>
      </w:r>
      <w:r w:rsidR="000956A4" w:rsidRPr="00D60DC3">
        <w:rPr>
          <w:rFonts w:cs="Arial"/>
          <w:color w:val="auto"/>
          <w:sz w:val="24"/>
          <w:szCs w:val="24"/>
        </w:rPr>
        <w:t>ni</w:t>
      </w:r>
      <w:r w:rsidR="00E54927" w:rsidRPr="008D5676">
        <w:rPr>
          <w:rFonts w:cs="Arial"/>
          <w:color w:val="auto"/>
          <w:sz w:val="24"/>
          <w:szCs w:val="24"/>
        </w:rPr>
        <w:t xml:space="preserve"> pogled na starost in staranje.</w:t>
      </w:r>
    </w:p>
    <w:p w:rsidR="00E54927" w:rsidRPr="008D5676" w:rsidRDefault="00056566" w:rsidP="000956A4">
      <w:pPr>
        <w:spacing w:after="120" w:line="276" w:lineRule="auto"/>
        <w:jc w:val="both"/>
        <w:rPr>
          <w:rFonts w:cs="Arial"/>
          <w:color w:val="auto"/>
          <w:sz w:val="24"/>
          <w:szCs w:val="24"/>
        </w:rPr>
      </w:pPr>
      <w:r w:rsidRPr="008D5676">
        <w:rPr>
          <w:rFonts w:cs="Arial"/>
          <w:color w:val="auto"/>
          <w:sz w:val="24"/>
          <w:szCs w:val="24"/>
        </w:rPr>
        <w:t>3</w:t>
      </w:r>
      <w:r w:rsidR="000956A4" w:rsidRPr="00D60DC3">
        <w:rPr>
          <w:rFonts w:cs="Arial"/>
          <w:color w:val="auto"/>
          <w:sz w:val="24"/>
          <w:szCs w:val="24"/>
        </w:rPr>
        <w:t>.</w:t>
      </w:r>
      <w:r w:rsidRPr="008D5676">
        <w:rPr>
          <w:rFonts w:cs="Arial"/>
          <w:color w:val="auto"/>
          <w:sz w:val="24"/>
          <w:szCs w:val="24"/>
        </w:rPr>
        <w:t xml:space="preserve"> </w:t>
      </w:r>
      <w:r w:rsidR="00E54927" w:rsidRPr="008D5676">
        <w:rPr>
          <w:rFonts w:cs="Arial"/>
          <w:b/>
          <w:color w:val="auto"/>
          <w:sz w:val="24"/>
          <w:szCs w:val="24"/>
        </w:rPr>
        <w:t>Razvijati prakse »postopnega prehoda v upokojitev«</w:t>
      </w:r>
      <w:r w:rsidR="00E54927" w:rsidRPr="008D5676">
        <w:rPr>
          <w:rFonts w:cs="Arial"/>
          <w:color w:val="auto"/>
          <w:sz w:val="24"/>
          <w:szCs w:val="24"/>
        </w:rPr>
        <w:t xml:space="preserve"> (delna upo</w:t>
      </w:r>
      <w:r w:rsidR="00074F34" w:rsidRPr="00D60DC3">
        <w:rPr>
          <w:rFonts w:cs="Arial"/>
          <w:color w:val="auto"/>
          <w:sz w:val="24"/>
          <w:szCs w:val="24"/>
        </w:rPr>
        <w:t>ko</w:t>
      </w:r>
      <w:r w:rsidR="00E54927" w:rsidRPr="008D5676">
        <w:rPr>
          <w:rFonts w:cs="Arial"/>
          <w:color w:val="auto"/>
          <w:sz w:val="24"/>
          <w:szCs w:val="24"/>
        </w:rPr>
        <w:t>jitev; upokojitev z možnostjo priložnostnega, občasnega, (ne)formalnega sodelovanja itn.) namesto režimov »prisilne« in »predčasne upokojitve« (ZUJF ipd.)</w:t>
      </w:r>
      <w:r w:rsidR="000956A4" w:rsidRPr="00D60DC3">
        <w:rPr>
          <w:rFonts w:cs="Arial"/>
          <w:color w:val="auto"/>
          <w:sz w:val="24"/>
          <w:szCs w:val="24"/>
        </w:rPr>
        <w:t>,</w:t>
      </w:r>
      <w:r w:rsidR="00E54927" w:rsidRPr="008D5676">
        <w:rPr>
          <w:rFonts w:cs="Arial"/>
          <w:color w:val="auto"/>
          <w:sz w:val="24"/>
          <w:szCs w:val="24"/>
        </w:rPr>
        <w:t xml:space="preserve"> in sicer </w:t>
      </w:r>
      <w:r w:rsidRPr="008D5676">
        <w:rPr>
          <w:rFonts w:cs="Arial"/>
          <w:color w:val="auto"/>
          <w:sz w:val="24"/>
          <w:szCs w:val="24"/>
        </w:rPr>
        <w:t xml:space="preserve">za </w:t>
      </w:r>
      <w:r w:rsidR="00E54927" w:rsidRPr="008D5676">
        <w:rPr>
          <w:rFonts w:cs="Arial"/>
          <w:color w:val="auto"/>
          <w:sz w:val="24"/>
          <w:szCs w:val="24"/>
        </w:rPr>
        <w:t xml:space="preserve">vse, ki kažejo motivacijo in </w:t>
      </w:r>
      <w:r w:rsidR="000956A4" w:rsidRPr="00D60DC3">
        <w:rPr>
          <w:rFonts w:cs="Arial"/>
          <w:color w:val="auto"/>
          <w:sz w:val="24"/>
          <w:szCs w:val="24"/>
        </w:rPr>
        <w:t>zanimanje</w:t>
      </w:r>
      <w:r w:rsidR="00E54927" w:rsidRPr="008D5676">
        <w:rPr>
          <w:rFonts w:cs="Arial"/>
          <w:color w:val="auto"/>
          <w:sz w:val="24"/>
          <w:szCs w:val="24"/>
        </w:rPr>
        <w:t xml:space="preserve"> za (nadaljn</w:t>
      </w:r>
      <w:r w:rsidR="000956A4" w:rsidRPr="00D60DC3">
        <w:rPr>
          <w:rFonts w:cs="Arial"/>
          <w:color w:val="auto"/>
          <w:sz w:val="24"/>
          <w:szCs w:val="24"/>
        </w:rPr>
        <w:t>j</w:t>
      </w:r>
      <w:r w:rsidR="00E54927" w:rsidRPr="008D5676">
        <w:rPr>
          <w:rFonts w:cs="Arial"/>
          <w:color w:val="auto"/>
          <w:sz w:val="24"/>
          <w:szCs w:val="24"/>
        </w:rPr>
        <w:t xml:space="preserve">o) delovno aktivnost: v okviru javnih institucij (mestne, občinske, javni zavodi) kot »dobrih zgledov« v javnem sektorju za pozitivno dojemanje storilnosti (izrazito pomembna za moške) in ustvarjalnosti (izrazito pomembna za ženske) v starosti. </w:t>
      </w:r>
      <w:r w:rsidR="00E54927" w:rsidRPr="008D5676">
        <w:rPr>
          <w:rFonts w:cs="Arial"/>
          <w:b/>
          <w:color w:val="auto"/>
          <w:sz w:val="24"/>
          <w:szCs w:val="24"/>
        </w:rPr>
        <w:t>Razvijati prakse inkluzivne in dolgožive družbe:</w:t>
      </w:r>
      <w:r w:rsidR="00E54927" w:rsidRPr="008D5676">
        <w:rPr>
          <w:rFonts w:cs="Arial"/>
          <w:color w:val="auto"/>
          <w:sz w:val="24"/>
          <w:szCs w:val="24"/>
        </w:rPr>
        <w:t xml:space="preserve"> praksa stare-nove kariere; vključevanje v mentorske, učne, mediacijske, razvojniške, strateške, motivacijske idr. vloge/delovne skupine/programe v institucijah in podjetjih; postopno nadomeščanje »kariere moške dominacije«, »identitete funkcionarjev« oz</w:t>
      </w:r>
      <w:r w:rsidR="00C31FDA" w:rsidRPr="008D5676">
        <w:rPr>
          <w:rFonts w:cs="Arial"/>
          <w:color w:val="auto"/>
          <w:sz w:val="24"/>
          <w:szCs w:val="24"/>
        </w:rPr>
        <w:t>.</w:t>
      </w:r>
      <w:r w:rsidR="00E54927" w:rsidRPr="008D5676">
        <w:rPr>
          <w:rFonts w:cs="Arial"/>
          <w:color w:val="auto"/>
          <w:sz w:val="24"/>
          <w:szCs w:val="24"/>
        </w:rPr>
        <w:t xml:space="preserve"> »kariere zastopnikov« itn. Na nacionalni ravni pa pripraviti </w:t>
      </w:r>
      <w:r w:rsidR="00E54927" w:rsidRPr="008D5676">
        <w:rPr>
          <w:rFonts w:cs="Arial"/>
          <w:b/>
          <w:color w:val="auto"/>
          <w:sz w:val="24"/>
          <w:szCs w:val="24"/>
        </w:rPr>
        <w:t>zakone, ki bi institucionalizirali prakse »postopnega/delnega upokojevanja«, »srebrno ekonomijo«,</w:t>
      </w:r>
      <w:r w:rsidR="00E54927" w:rsidRPr="008D5676">
        <w:rPr>
          <w:rFonts w:cs="Arial"/>
          <w:color w:val="auto"/>
          <w:sz w:val="24"/>
          <w:szCs w:val="24"/>
        </w:rPr>
        <w:t xml:space="preserve"> </w:t>
      </w:r>
      <w:r w:rsidR="000956A4" w:rsidRPr="00D60DC3">
        <w:rPr>
          <w:rFonts w:cs="Arial"/>
          <w:color w:val="auto"/>
          <w:sz w:val="24"/>
          <w:szCs w:val="24"/>
        </w:rPr>
        <w:t>s</w:t>
      </w:r>
      <w:r w:rsidR="00E54927" w:rsidRPr="008D5676">
        <w:rPr>
          <w:rFonts w:cs="Arial"/>
          <w:color w:val="auto"/>
          <w:sz w:val="24"/>
          <w:szCs w:val="24"/>
        </w:rPr>
        <w:t xml:space="preserve">podbujali gospodarsko povezovanje starejših ipd. V tej smeri </w:t>
      </w:r>
      <w:r w:rsidR="000956A4" w:rsidRPr="00D60DC3">
        <w:rPr>
          <w:rFonts w:cs="Arial"/>
          <w:color w:val="auto"/>
          <w:sz w:val="24"/>
          <w:szCs w:val="24"/>
        </w:rPr>
        <w:t xml:space="preserve">bi bilo treba </w:t>
      </w:r>
      <w:r w:rsidR="00E54927" w:rsidRPr="008D5676">
        <w:rPr>
          <w:rFonts w:cs="Arial"/>
          <w:color w:val="auto"/>
          <w:sz w:val="24"/>
          <w:szCs w:val="24"/>
        </w:rPr>
        <w:t>tudi finančno podpirati organizacije, ki izkazujejo »partnerstvo« s starejšimi odraslimi.</w:t>
      </w:r>
    </w:p>
    <w:p w:rsidR="00E54927" w:rsidRPr="008D5676" w:rsidRDefault="00C31FDA" w:rsidP="00E8064B">
      <w:pPr>
        <w:spacing w:after="120" w:line="276" w:lineRule="auto"/>
        <w:jc w:val="both"/>
        <w:rPr>
          <w:rFonts w:cs="Arial"/>
          <w:color w:val="auto"/>
          <w:sz w:val="24"/>
          <w:szCs w:val="24"/>
        </w:rPr>
      </w:pPr>
      <w:r w:rsidRPr="008D5676">
        <w:rPr>
          <w:rFonts w:cs="Arial"/>
          <w:color w:val="auto"/>
          <w:sz w:val="24"/>
          <w:szCs w:val="24"/>
        </w:rPr>
        <w:t>4</w:t>
      </w:r>
      <w:r w:rsidR="000956A4" w:rsidRPr="00D60DC3">
        <w:rPr>
          <w:rFonts w:cs="Arial"/>
          <w:color w:val="auto"/>
          <w:sz w:val="24"/>
          <w:szCs w:val="24"/>
        </w:rPr>
        <w:t>.</w:t>
      </w:r>
      <w:r w:rsidRPr="008D5676">
        <w:rPr>
          <w:rFonts w:cs="Arial"/>
          <w:color w:val="auto"/>
          <w:sz w:val="24"/>
          <w:szCs w:val="24"/>
        </w:rPr>
        <w:t xml:space="preserve"> </w:t>
      </w:r>
      <w:r w:rsidR="00BA571F" w:rsidRPr="008D5676">
        <w:rPr>
          <w:rFonts w:cs="Arial"/>
          <w:color w:val="auto"/>
          <w:sz w:val="24"/>
          <w:szCs w:val="24"/>
        </w:rPr>
        <w:t>Ker smo kot družba kljub zaveda</w:t>
      </w:r>
      <w:r w:rsidR="00E54927" w:rsidRPr="008D5676">
        <w:rPr>
          <w:rFonts w:cs="Arial"/>
          <w:color w:val="auto"/>
          <w:sz w:val="24"/>
          <w:szCs w:val="24"/>
        </w:rPr>
        <w:t xml:space="preserve">nju predvidljivih demografskih sprememb </w:t>
      </w:r>
      <w:r w:rsidR="000956A4" w:rsidRPr="00D60DC3">
        <w:rPr>
          <w:rFonts w:cs="Arial"/>
          <w:color w:val="auto"/>
          <w:sz w:val="24"/>
          <w:szCs w:val="24"/>
        </w:rPr>
        <w:t>izpostavljeni</w:t>
      </w:r>
      <w:r w:rsidR="00E54927" w:rsidRPr="008D5676">
        <w:rPr>
          <w:rFonts w:cs="Arial"/>
          <w:color w:val="auto"/>
          <w:sz w:val="24"/>
          <w:szCs w:val="24"/>
        </w:rPr>
        <w:t xml:space="preserve"> intenzivnim procesom a) marginalizacije (zlasti obubožanja) starejših odraslih in b) »izginjanju« starejših (zlasti moških) iz skupnosti zaradi samoizolacije, nekoristnosti, nepotrebnosti v sodobnem načinu življenja</w:t>
      </w:r>
      <w:r w:rsidR="00E8064B" w:rsidRPr="00D60DC3">
        <w:rPr>
          <w:rFonts w:cs="Arial"/>
          <w:color w:val="auto"/>
          <w:sz w:val="24"/>
          <w:szCs w:val="24"/>
        </w:rPr>
        <w:t>,</w:t>
      </w:r>
      <w:r w:rsidR="00E54927" w:rsidRPr="008D5676">
        <w:rPr>
          <w:rFonts w:cs="Arial"/>
          <w:color w:val="auto"/>
          <w:sz w:val="24"/>
          <w:szCs w:val="24"/>
        </w:rPr>
        <w:t xml:space="preserve"> </w:t>
      </w:r>
      <w:r w:rsidR="00E54927" w:rsidRPr="008D5676">
        <w:rPr>
          <w:rFonts w:cs="Arial"/>
          <w:b/>
          <w:color w:val="auto"/>
          <w:sz w:val="24"/>
          <w:szCs w:val="24"/>
        </w:rPr>
        <w:t>je treb</w:t>
      </w:r>
      <w:r w:rsidR="000956A4" w:rsidRPr="00D60DC3">
        <w:rPr>
          <w:rFonts w:cs="Arial"/>
          <w:b/>
          <w:color w:val="auto"/>
          <w:sz w:val="24"/>
          <w:szCs w:val="24"/>
        </w:rPr>
        <w:t>a</w:t>
      </w:r>
      <w:r w:rsidR="00E54927" w:rsidRPr="008D5676">
        <w:rPr>
          <w:rFonts w:cs="Arial"/>
          <w:b/>
          <w:color w:val="auto"/>
          <w:sz w:val="24"/>
          <w:szCs w:val="24"/>
        </w:rPr>
        <w:t xml:space="preserve"> na lokaln</w:t>
      </w:r>
      <w:r w:rsidR="000956A4" w:rsidRPr="00D60DC3">
        <w:rPr>
          <w:rFonts w:cs="Arial"/>
          <w:b/>
          <w:color w:val="auto"/>
          <w:sz w:val="24"/>
          <w:szCs w:val="24"/>
        </w:rPr>
        <w:t>ih</w:t>
      </w:r>
      <w:r w:rsidR="00E54927" w:rsidRPr="008D5676">
        <w:rPr>
          <w:rFonts w:cs="Arial"/>
          <w:b/>
          <w:color w:val="auto"/>
          <w:sz w:val="24"/>
          <w:szCs w:val="24"/>
        </w:rPr>
        <w:t xml:space="preserve"> </w:t>
      </w:r>
      <w:r w:rsidR="000956A4" w:rsidRPr="00D60DC3">
        <w:rPr>
          <w:rFonts w:cs="Arial"/>
          <w:b/>
          <w:color w:val="auto"/>
          <w:sz w:val="24"/>
          <w:szCs w:val="24"/>
        </w:rPr>
        <w:t>ravneh</w:t>
      </w:r>
      <w:r w:rsidR="00E54927" w:rsidRPr="008D5676">
        <w:rPr>
          <w:rFonts w:cs="Arial"/>
          <w:b/>
          <w:color w:val="auto"/>
          <w:sz w:val="24"/>
          <w:szCs w:val="24"/>
        </w:rPr>
        <w:t xml:space="preserve"> razvijati bolj demokratične in participativne procese za vključevanje starejših odraslih </w:t>
      </w:r>
      <w:r w:rsidR="00E54927" w:rsidRPr="008D5676">
        <w:rPr>
          <w:rFonts w:cs="Arial"/>
          <w:color w:val="auto"/>
          <w:sz w:val="24"/>
          <w:szCs w:val="24"/>
        </w:rPr>
        <w:t xml:space="preserve">v posvetovalne idr. prakse, prek katerih lahko prispevajo </w:t>
      </w:r>
      <w:r w:rsidR="000956A4" w:rsidRPr="00D60DC3">
        <w:rPr>
          <w:rFonts w:cs="Arial"/>
          <w:color w:val="auto"/>
          <w:sz w:val="24"/>
          <w:szCs w:val="24"/>
        </w:rPr>
        <w:t xml:space="preserve">svoj delež </w:t>
      </w:r>
      <w:r w:rsidR="00E54927" w:rsidRPr="008D5676">
        <w:rPr>
          <w:rFonts w:cs="Arial"/>
          <w:color w:val="auto"/>
          <w:sz w:val="24"/>
          <w:szCs w:val="24"/>
        </w:rPr>
        <w:t>k skupnosti (tudi z delovnimi, čistilnimi idr. akcijami): Ajdovščina se s participatornim proračunom (PP) že razvija v tej smeri, kar bi veljalo še krepiti (tudi z aktivnejšim vključevanj</w:t>
      </w:r>
      <w:r w:rsidR="000956A4" w:rsidRPr="00D60DC3">
        <w:rPr>
          <w:rFonts w:cs="Arial"/>
          <w:color w:val="auto"/>
          <w:sz w:val="24"/>
          <w:szCs w:val="24"/>
        </w:rPr>
        <w:t>em</w:t>
      </w:r>
      <w:r w:rsidR="00E54927" w:rsidRPr="008D5676">
        <w:rPr>
          <w:rFonts w:cs="Arial"/>
          <w:color w:val="auto"/>
          <w:sz w:val="24"/>
          <w:szCs w:val="24"/>
        </w:rPr>
        <w:t xml:space="preserve"> starejših moških); v </w:t>
      </w:r>
      <w:r w:rsidR="003B79E6" w:rsidRPr="00D60DC3">
        <w:rPr>
          <w:rFonts w:cs="Arial"/>
          <w:color w:val="auto"/>
          <w:sz w:val="24"/>
          <w:szCs w:val="24"/>
        </w:rPr>
        <w:t xml:space="preserve">Četrtni skupnosti </w:t>
      </w:r>
      <w:r w:rsidR="00E54927" w:rsidRPr="008D5676">
        <w:rPr>
          <w:rFonts w:cs="Arial"/>
          <w:color w:val="auto"/>
          <w:sz w:val="24"/>
          <w:szCs w:val="24"/>
        </w:rPr>
        <w:t>Ljubljani</w:t>
      </w:r>
      <w:r w:rsidR="00FC3994" w:rsidRPr="00D60DC3">
        <w:rPr>
          <w:rFonts w:cs="Arial"/>
          <w:color w:val="auto"/>
          <w:sz w:val="24"/>
          <w:szCs w:val="24"/>
        </w:rPr>
        <w:t xml:space="preserve"> </w:t>
      </w:r>
      <w:r w:rsidR="00E54927" w:rsidRPr="008D5676">
        <w:rPr>
          <w:rFonts w:cs="Arial"/>
          <w:color w:val="auto"/>
          <w:sz w:val="24"/>
          <w:szCs w:val="24"/>
        </w:rPr>
        <w:t>Bežigrad</w:t>
      </w:r>
      <w:r w:rsidR="003B79E6" w:rsidRPr="00D60DC3">
        <w:rPr>
          <w:rFonts w:cs="Arial"/>
          <w:color w:val="auto"/>
          <w:sz w:val="24"/>
          <w:szCs w:val="24"/>
        </w:rPr>
        <w:t>,</w:t>
      </w:r>
      <w:r w:rsidR="00E54927" w:rsidRPr="008D5676">
        <w:rPr>
          <w:rFonts w:cs="Arial"/>
          <w:color w:val="auto"/>
          <w:sz w:val="24"/>
          <w:szCs w:val="24"/>
        </w:rPr>
        <w:t xml:space="preserve"> kjer so bili interesi in potrebe po podajanju </w:t>
      </w:r>
      <w:r w:rsidR="00E54927" w:rsidRPr="008D5676">
        <w:rPr>
          <w:rFonts w:cs="Arial"/>
          <w:color w:val="auto"/>
          <w:sz w:val="24"/>
          <w:szCs w:val="24"/>
        </w:rPr>
        <w:lastRenderedPageBreak/>
        <w:t xml:space="preserve">predlogov, razpravljanju, političnem sodelovanju in soodločanju najbolj izraženi, pa </w:t>
      </w:r>
      <w:r w:rsidR="00FC3994" w:rsidRPr="00D60DC3">
        <w:rPr>
          <w:rFonts w:cs="Arial"/>
          <w:color w:val="auto"/>
          <w:sz w:val="24"/>
          <w:szCs w:val="24"/>
        </w:rPr>
        <w:t>raz</w:t>
      </w:r>
      <w:r w:rsidR="00E54927" w:rsidRPr="008D5676">
        <w:rPr>
          <w:rFonts w:cs="Arial"/>
          <w:color w:val="auto"/>
          <w:sz w:val="24"/>
          <w:szCs w:val="24"/>
        </w:rPr>
        <w:t>misliti o razvoju PP ali temu podobnih posvetovalnih praks</w:t>
      </w:r>
      <w:r w:rsidR="00FC3994" w:rsidRPr="00D60DC3">
        <w:rPr>
          <w:rFonts w:cs="Arial"/>
          <w:color w:val="auto"/>
          <w:sz w:val="24"/>
          <w:szCs w:val="24"/>
        </w:rPr>
        <w:t>ah</w:t>
      </w:r>
      <w:r w:rsidR="00E54927" w:rsidRPr="008D5676">
        <w:rPr>
          <w:rFonts w:cs="Arial"/>
          <w:color w:val="auto"/>
          <w:sz w:val="24"/>
          <w:szCs w:val="24"/>
        </w:rPr>
        <w:t>, v okviru katerih bi lahko svoje visoko po</w:t>
      </w:r>
      <w:r w:rsidRPr="008D5676">
        <w:rPr>
          <w:rFonts w:cs="Arial"/>
          <w:color w:val="auto"/>
          <w:sz w:val="24"/>
          <w:szCs w:val="24"/>
        </w:rPr>
        <w:t>udarjene demokratične in sodelov</w:t>
      </w:r>
      <w:r w:rsidR="00E54927" w:rsidRPr="008D5676">
        <w:rPr>
          <w:rFonts w:cs="Arial"/>
          <w:color w:val="auto"/>
          <w:sz w:val="24"/>
          <w:szCs w:val="24"/>
        </w:rPr>
        <w:t xml:space="preserve">alne ambicije </w:t>
      </w:r>
      <w:r w:rsidR="000956A4" w:rsidRPr="00D60DC3">
        <w:rPr>
          <w:rFonts w:cs="Arial"/>
          <w:color w:val="auto"/>
          <w:sz w:val="24"/>
          <w:szCs w:val="24"/>
        </w:rPr>
        <w:t>uresniči</w:t>
      </w:r>
      <w:r w:rsidR="00E54927" w:rsidRPr="008D5676">
        <w:rPr>
          <w:rFonts w:cs="Arial"/>
          <w:color w:val="auto"/>
          <w:sz w:val="24"/>
          <w:szCs w:val="24"/>
        </w:rPr>
        <w:t xml:space="preserve">li tudi starejši (moški). </w:t>
      </w:r>
    </w:p>
    <w:p w:rsidR="00E54927" w:rsidRPr="008D5676" w:rsidRDefault="007E6A94" w:rsidP="003B79E6">
      <w:pPr>
        <w:spacing w:after="120" w:line="276" w:lineRule="auto"/>
        <w:jc w:val="both"/>
        <w:rPr>
          <w:rFonts w:cs="Arial"/>
          <w:color w:val="auto"/>
          <w:sz w:val="24"/>
          <w:szCs w:val="24"/>
        </w:rPr>
      </w:pPr>
      <w:r w:rsidRPr="008D5676">
        <w:rPr>
          <w:rFonts w:cs="Arial"/>
          <w:color w:val="auto"/>
          <w:sz w:val="24"/>
          <w:szCs w:val="24"/>
        </w:rPr>
        <w:t>5</w:t>
      </w:r>
      <w:r w:rsidR="00FC3994" w:rsidRPr="00D60DC3">
        <w:rPr>
          <w:rFonts w:cs="Arial"/>
          <w:color w:val="auto"/>
          <w:sz w:val="24"/>
          <w:szCs w:val="24"/>
        </w:rPr>
        <w:t>.</w:t>
      </w:r>
      <w:r w:rsidRPr="008D5676">
        <w:rPr>
          <w:rFonts w:cs="Arial"/>
          <w:color w:val="auto"/>
          <w:sz w:val="24"/>
          <w:szCs w:val="24"/>
        </w:rPr>
        <w:t xml:space="preserve"> </w:t>
      </w:r>
      <w:r w:rsidR="00E54927" w:rsidRPr="008D5676">
        <w:rPr>
          <w:rFonts w:cs="Arial"/>
          <w:b/>
          <w:color w:val="auto"/>
          <w:sz w:val="24"/>
          <w:szCs w:val="24"/>
        </w:rPr>
        <w:t>Finančno podpirati in krepiti učne idr. integracijske in medgeneracijske p</w:t>
      </w:r>
      <w:r w:rsidR="00074F34" w:rsidRPr="00D60DC3">
        <w:rPr>
          <w:rFonts w:cs="Arial"/>
          <w:b/>
          <w:color w:val="auto"/>
          <w:sz w:val="24"/>
          <w:szCs w:val="24"/>
        </w:rPr>
        <w:t>r</w:t>
      </w:r>
      <w:r w:rsidR="00E54927" w:rsidRPr="008D5676">
        <w:rPr>
          <w:rFonts w:cs="Arial"/>
          <w:b/>
          <w:color w:val="auto"/>
          <w:sz w:val="24"/>
          <w:szCs w:val="24"/>
        </w:rPr>
        <w:t>ograme in projekte v okviru nevladnega sektorja</w:t>
      </w:r>
      <w:r w:rsidR="00E54927" w:rsidRPr="008D5676">
        <w:rPr>
          <w:rFonts w:cs="Arial"/>
          <w:color w:val="auto"/>
          <w:sz w:val="24"/>
          <w:szCs w:val="24"/>
        </w:rPr>
        <w:t xml:space="preserve">, ki že ustvarjajo raznolike možnosti za udejstvovanje starejših odraslih, pri tem pa poskrbeti za dodatne finančne </w:t>
      </w:r>
      <w:r w:rsidR="00FC3994" w:rsidRPr="00D60DC3">
        <w:rPr>
          <w:rFonts w:cs="Arial"/>
          <w:color w:val="auto"/>
          <w:sz w:val="24"/>
          <w:szCs w:val="24"/>
        </w:rPr>
        <w:t>s</w:t>
      </w:r>
      <w:r w:rsidR="00E54927" w:rsidRPr="008D5676">
        <w:rPr>
          <w:rFonts w:cs="Arial"/>
          <w:color w:val="auto"/>
          <w:sz w:val="24"/>
          <w:szCs w:val="24"/>
        </w:rPr>
        <w:t xml:space="preserve">podbude za projekte, ki bodo a) </w:t>
      </w:r>
      <w:r w:rsidR="00FC3994" w:rsidRPr="00D60DC3">
        <w:rPr>
          <w:rFonts w:cs="Arial"/>
          <w:color w:val="auto"/>
          <w:sz w:val="24"/>
          <w:szCs w:val="24"/>
        </w:rPr>
        <w:t>obravnav</w:t>
      </w:r>
      <w:r w:rsidR="00E54927" w:rsidRPr="008D5676">
        <w:rPr>
          <w:rFonts w:cs="Arial"/>
          <w:color w:val="auto"/>
          <w:sz w:val="24"/>
          <w:szCs w:val="24"/>
        </w:rPr>
        <w:t>ali in odpravljali visoko socialno, emocionalno idr. odvisnost starejših moških od svojih partner</w:t>
      </w:r>
      <w:r w:rsidR="00FC3994" w:rsidRPr="00D60DC3">
        <w:rPr>
          <w:rFonts w:cs="Arial"/>
          <w:color w:val="auto"/>
          <w:sz w:val="24"/>
          <w:szCs w:val="24"/>
        </w:rPr>
        <w:t>k</w:t>
      </w:r>
      <w:r w:rsidR="00E54927" w:rsidRPr="008D5676">
        <w:rPr>
          <w:rFonts w:cs="Arial"/>
          <w:color w:val="auto"/>
          <w:sz w:val="24"/>
          <w:szCs w:val="24"/>
        </w:rPr>
        <w:t xml:space="preserve"> (in družine); b) informirali o pomenu socialnih omrežij in socialnega kapitala za zdravje in kakovostno starost; c) razvija</w:t>
      </w:r>
      <w:r w:rsidR="003B79E6" w:rsidRPr="00D60DC3">
        <w:rPr>
          <w:rFonts w:cs="Arial"/>
          <w:color w:val="auto"/>
          <w:sz w:val="24"/>
          <w:szCs w:val="24"/>
        </w:rPr>
        <w:t>l</w:t>
      </w:r>
      <w:r w:rsidR="00E54927" w:rsidRPr="008D5676">
        <w:rPr>
          <w:rFonts w:cs="Arial"/>
          <w:color w:val="auto"/>
          <w:sz w:val="24"/>
          <w:szCs w:val="24"/>
        </w:rPr>
        <w:t>i programe za večjo p</w:t>
      </w:r>
      <w:r w:rsidR="0085618F" w:rsidRPr="008D5676">
        <w:rPr>
          <w:rFonts w:cs="Arial"/>
          <w:color w:val="auto"/>
          <w:sz w:val="24"/>
          <w:szCs w:val="24"/>
        </w:rPr>
        <w:t>odporo skupnosti pri razumevanju</w:t>
      </w:r>
      <w:r w:rsidR="00E54927" w:rsidRPr="008D5676">
        <w:rPr>
          <w:rFonts w:cs="Arial"/>
          <w:color w:val="auto"/>
          <w:sz w:val="24"/>
          <w:szCs w:val="24"/>
        </w:rPr>
        <w:t xml:space="preserve"> procesa staranja kot tudi omrežja za lažje premagovanje problemov starosti. V ta namen </w:t>
      </w:r>
      <w:r w:rsidR="00E54927" w:rsidRPr="008D5676">
        <w:rPr>
          <w:rFonts w:cs="Arial"/>
          <w:b/>
          <w:color w:val="auto"/>
          <w:sz w:val="24"/>
          <w:szCs w:val="24"/>
        </w:rPr>
        <w:t>je treb</w:t>
      </w:r>
      <w:r w:rsidR="00FC3994" w:rsidRPr="00D60DC3">
        <w:rPr>
          <w:rFonts w:cs="Arial"/>
          <w:b/>
          <w:color w:val="auto"/>
          <w:sz w:val="24"/>
          <w:szCs w:val="24"/>
        </w:rPr>
        <w:t>a</w:t>
      </w:r>
      <w:r w:rsidR="00E54927" w:rsidRPr="008D5676">
        <w:rPr>
          <w:rFonts w:cs="Arial"/>
          <w:b/>
          <w:color w:val="auto"/>
          <w:sz w:val="24"/>
          <w:szCs w:val="24"/>
        </w:rPr>
        <w:t xml:space="preserve"> povezati, okrepiti in nadgraditi lokalne skrbstvene in varstvene institucije ter servise</w:t>
      </w:r>
      <w:r w:rsidR="00E54927" w:rsidRPr="008D5676">
        <w:rPr>
          <w:rFonts w:cs="Arial"/>
          <w:color w:val="auto"/>
          <w:sz w:val="24"/>
          <w:szCs w:val="24"/>
        </w:rPr>
        <w:t xml:space="preserve"> (funkcionalna pismenost, pomoč pri dnevnih opravilih, invalidnosti itn.), </w:t>
      </w:r>
      <w:r w:rsidR="00FC3994" w:rsidRPr="00D60DC3">
        <w:rPr>
          <w:rFonts w:cs="Arial"/>
          <w:color w:val="auto"/>
          <w:sz w:val="24"/>
          <w:szCs w:val="24"/>
        </w:rPr>
        <w:t>namenjene</w:t>
      </w:r>
      <w:r w:rsidR="00E54927" w:rsidRPr="008D5676">
        <w:rPr>
          <w:rFonts w:cs="Arial"/>
          <w:color w:val="auto"/>
          <w:sz w:val="24"/>
          <w:szCs w:val="24"/>
        </w:rPr>
        <w:t xml:space="preserve"> starejšim odraslim; vzpostaviti informacijske točke, sisteme informiranj</w:t>
      </w:r>
      <w:r w:rsidR="00FC3994" w:rsidRPr="00D60DC3">
        <w:rPr>
          <w:rFonts w:cs="Arial"/>
          <w:color w:val="auto"/>
          <w:sz w:val="24"/>
          <w:szCs w:val="24"/>
        </w:rPr>
        <w:t>a</w:t>
      </w:r>
      <w:r w:rsidR="00E54927" w:rsidRPr="008D5676">
        <w:rPr>
          <w:rFonts w:cs="Arial"/>
          <w:color w:val="auto"/>
          <w:sz w:val="24"/>
          <w:szCs w:val="24"/>
        </w:rPr>
        <w:t xml:space="preserve"> (in/ali koordinacije) o aktivnostih, obstoječih </w:t>
      </w:r>
      <w:r w:rsidR="00FC3994" w:rsidRPr="00D60DC3">
        <w:rPr>
          <w:rFonts w:cs="Arial"/>
          <w:color w:val="auto"/>
          <w:sz w:val="24"/>
          <w:szCs w:val="24"/>
        </w:rPr>
        <w:t xml:space="preserve">oblikah </w:t>
      </w:r>
      <w:r w:rsidR="00E54927" w:rsidRPr="008D5676">
        <w:rPr>
          <w:rFonts w:cs="Arial"/>
          <w:color w:val="auto"/>
          <w:sz w:val="24"/>
          <w:szCs w:val="24"/>
        </w:rPr>
        <w:t>pomoč</w:t>
      </w:r>
      <w:r w:rsidR="00FC3994" w:rsidRPr="00D60DC3">
        <w:rPr>
          <w:rFonts w:cs="Arial"/>
          <w:color w:val="auto"/>
          <w:sz w:val="24"/>
          <w:szCs w:val="24"/>
        </w:rPr>
        <w:t>i</w:t>
      </w:r>
      <w:r w:rsidR="00E54927" w:rsidRPr="008D5676">
        <w:rPr>
          <w:rFonts w:cs="Arial"/>
          <w:color w:val="auto"/>
          <w:sz w:val="24"/>
          <w:szCs w:val="24"/>
        </w:rPr>
        <w:t>, storitvah itn. za starejše na lokalni ravni; razviti večg</w:t>
      </w:r>
      <w:r w:rsidR="00074F34" w:rsidRPr="00D60DC3">
        <w:rPr>
          <w:rFonts w:cs="Arial"/>
          <w:color w:val="auto"/>
          <w:sz w:val="24"/>
          <w:szCs w:val="24"/>
        </w:rPr>
        <w:t>e</w:t>
      </w:r>
      <w:r w:rsidR="00E54927" w:rsidRPr="008D5676">
        <w:rPr>
          <w:rFonts w:cs="Arial"/>
          <w:color w:val="auto"/>
          <w:sz w:val="24"/>
          <w:szCs w:val="24"/>
        </w:rPr>
        <w:t>neracijske oblike bivanja; (moške) podporne skupi</w:t>
      </w:r>
      <w:r w:rsidR="00C31FDA" w:rsidRPr="008D5676">
        <w:rPr>
          <w:rFonts w:cs="Arial"/>
          <w:color w:val="auto"/>
          <w:sz w:val="24"/>
          <w:szCs w:val="24"/>
        </w:rPr>
        <w:t>ne; (moške delavnice) itn</w:t>
      </w:r>
      <w:r w:rsidR="00E54927" w:rsidRPr="008D5676">
        <w:rPr>
          <w:rFonts w:cs="Arial"/>
          <w:color w:val="auto"/>
          <w:sz w:val="24"/>
          <w:szCs w:val="24"/>
        </w:rPr>
        <w:t>.</w:t>
      </w:r>
    </w:p>
    <w:p w:rsidR="00E54927" w:rsidRPr="008D5676" w:rsidRDefault="0085618F" w:rsidP="00FC3994">
      <w:pPr>
        <w:spacing w:after="120" w:line="276" w:lineRule="auto"/>
        <w:jc w:val="both"/>
        <w:rPr>
          <w:rFonts w:cs="Arial"/>
          <w:color w:val="auto"/>
          <w:sz w:val="24"/>
          <w:szCs w:val="24"/>
        </w:rPr>
      </w:pPr>
      <w:r w:rsidRPr="008D5676">
        <w:rPr>
          <w:rFonts w:cs="Arial"/>
          <w:color w:val="auto"/>
          <w:sz w:val="24"/>
          <w:szCs w:val="24"/>
        </w:rPr>
        <w:t>6</w:t>
      </w:r>
      <w:r w:rsidR="00FC3994" w:rsidRPr="00D60DC3">
        <w:rPr>
          <w:rFonts w:cs="Arial"/>
          <w:color w:val="auto"/>
          <w:sz w:val="24"/>
          <w:szCs w:val="24"/>
        </w:rPr>
        <w:t>.</w:t>
      </w:r>
      <w:r w:rsidRPr="008D5676">
        <w:rPr>
          <w:rFonts w:cs="Arial"/>
          <w:color w:val="auto"/>
          <w:sz w:val="24"/>
          <w:szCs w:val="24"/>
        </w:rPr>
        <w:t xml:space="preserve"> </w:t>
      </w:r>
      <w:r w:rsidR="00E54927" w:rsidRPr="008D5676">
        <w:rPr>
          <w:rFonts w:cs="Arial"/>
          <w:b/>
          <w:color w:val="auto"/>
          <w:sz w:val="24"/>
          <w:szCs w:val="24"/>
        </w:rPr>
        <w:t>Dostopnost do kakovostnih storitev, ustrezna javna infrastruktura in mobilnost</w:t>
      </w:r>
      <w:r w:rsidR="00E54927" w:rsidRPr="008D5676">
        <w:rPr>
          <w:rFonts w:cs="Arial"/>
          <w:color w:val="auto"/>
          <w:sz w:val="24"/>
          <w:szCs w:val="24"/>
        </w:rPr>
        <w:t xml:space="preserve"> so ob razkrajanju sistema države blaginje in vse manj socialne države postali velika tehnična (predvsem pa tudi finančna) ovira za starejše odrasle, ki močno vpliva na njihovo kakovost življenja, saj so določene nujno potrebne storitve plačljive, dostop do institucij in splošna mobilnost pa pogosto slab</w:t>
      </w:r>
      <w:r w:rsidR="00FC3994" w:rsidRPr="00D60DC3">
        <w:rPr>
          <w:rFonts w:cs="Arial"/>
          <w:color w:val="auto"/>
          <w:sz w:val="24"/>
          <w:szCs w:val="24"/>
        </w:rPr>
        <w:t>a</w:t>
      </w:r>
      <w:r w:rsidR="00E54927" w:rsidRPr="008D5676">
        <w:rPr>
          <w:rFonts w:cs="Arial"/>
          <w:color w:val="auto"/>
          <w:sz w:val="24"/>
          <w:szCs w:val="24"/>
        </w:rPr>
        <w:t xml:space="preserve"> ali celo neustrezn</w:t>
      </w:r>
      <w:r w:rsidR="00FC3994" w:rsidRPr="00D60DC3">
        <w:rPr>
          <w:rFonts w:cs="Arial"/>
          <w:color w:val="auto"/>
          <w:sz w:val="24"/>
          <w:szCs w:val="24"/>
        </w:rPr>
        <w:t>a</w:t>
      </w:r>
      <w:r w:rsidR="00E54927" w:rsidRPr="008D5676">
        <w:rPr>
          <w:rFonts w:cs="Arial"/>
          <w:color w:val="auto"/>
          <w:sz w:val="24"/>
          <w:szCs w:val="24"/>
        </w:rPr>
        <w:t>. Zato je treb</w:t>
      </w:r>
      <w:r w:rsidR="00FC3994" w:rsidRPr="00D60DC3">
        <w:rPr>
          <w:rFonts w:cs="Arial"/>
          <w:color w:val="auto"/>
          <w:sz w:val="24"/>
          <w:szCs w:val="24"/>
        </w:rPr>
        <w:t>a</w:t>
      </w:r>
      <w:r w:rsidR="00E54927" w:rsidRPr="008D5676">
        <w:rPr>
          <w:rFonts w:cs="Arial"/>
          <w:color w:val="auto"/>
          <w:sz w:val="24"/>
          <w:szCs w:val="24"/>
        </w:rPr>
        <w:t xml:space="preserve"> v specifičnih lokalnih okoljih (vas, soseska, gentrifikacija mestnih sredi</w:t>
      </w:r>
      <w:r w:rsidR="003B79E6" w:rsidRPr="00D60DC3">
        <w:rPr>
          <w:rFonts w:cs="Arial"/>
          <w:color w:val="auto"/>
          <w:sz w:val="24"/>
          <w:szCs w:val="24"/>
        </w:rPr>
        <w:t>š</w:t>
      </w:r>
      <w:r w:rsidR="00E54927" w:rsidRPr="008D5676">
        <w:rPr>
          <w:rFonts w:cs="Arial"/>
          <w:color w:val="auto"/>
          <w:sz w:val="24"/>
          <w:szCs w:val="24"/>
        </w:rPr>
        <w:t>č itn.) identificira</w:t>
      </w:r>
      <w:r w:rsidR="00FC3994" w:rsidRPr="00D60DC3">
        <w:rPr>
          <w:rFonts w:cs="Arial"/>
          <w:color w:val="auto"/>
          <w:sz w:val="24"/>
          <w:szCs w:val="24"/>
        </w:rPr>
        <w:t>t</w:t>
      </w:r>
      <w:r w:rsidR="00E54927" w:rsidRPr="008D5676">
        <w:rPr>
          <w:rFonts w:cs="Arial"/>
          <w:color w:val="auto"/>
          <w:sz w:val="24"/>
          <w:szCs w:val="24"/>
        </w:rPr>
        <w:t xml:space="preserve">i konkretne </w:t>
      </w:r>
      <w:r w:rsidR="00FC3994" w:rsidRPr="00D60DC3">
        <w:rPr>
          <w:rFonts w:cs="Arial"/>
          <w:color w:val="auto"/>
          <w:sz w:val="24"/>
          <w:szCs w:val="24"/>
        </w:rPr>
        <w:t>ovire</w:t>
      </w:r>
      <w:r w:rsidR="00E54927" w:rsidRPr="008D5676">
        <w:rPr>
          <w:rFonts w:cs="Arial"/>
          <w:color w:val="auto"/>
          <w:sz w:val="24"/>
          <w:szCs w:val="24"/>
        </w:rPr>
        <w:t>, ki starejšim odraslim onemogočajo ustrezno dostopnost in mobilnost (pločniki, kolesarske steze, klopi na avtobusnih postajališčih in ob sprehajalnih poteh, parkirišča ob zdravstvenih domovih, organiziran javni prevoz, bližina trgovine, lekarne, pošte, banke ipd. v ruralnem okolju; neplačljivi družabni prostori, ki bi bili alternativa gost</w:t>
      </w:r>
      <w:r w:rsidR="003B79E6" w:rsidRPr="00D60DC3">
        <w:rPr>
          <w:rFonts w:cs="Arial"/>
          <w:color w:val="auto"/>
          <w:sz w:val="24"/>
          <w:szCs w:val="24"/>
        </w:rPr>
        <w:t>i</w:t>
      </w:r>
      <w:r w:rsidR="00E54927" w:rsidRPr="008D5676">
        <w:rPr>
          <w:rFonts w:cs="Arial"/>
          <w:color w:val="auto"/>
          <w:sz w:val="24"/>
          <w:szCs w:val="24"/>
        </w:rPr>
        <w:t>lni, cerkvi in šoli ipd.), iskati načine za cenejš</w:t>
      </w:r>
      <w:r w:rsidR="00FC3994" w:rsidRPr="00D60DC3">
        <w:rPr>
          <w:rFonts w:cs="Arial"/>
          <w:color w:val="auto"/>
          <w:sz w:val="24"/>
          <w:szCs w:val="24"/>
        </w:rPr>
        <w:t>e</w:t>
      </w:r>
      <w:r w:rsidR="00E54927" w:rsidRPr="008D5676">
        <w:rPr>
          <w:rFonts w:cs="Arial"/>
          <w:color w:val="auto"/>
          <w:sz w:val="24"/>
          <w:szCs w:val="24"/>
        </w:rPr>
        <w:t xml:space="preserve"> ali brezplačne storitve za starejše odrasle (že obstoječi javni prevoz LPP v Ljubljani) tudi v okviru decentralizacije storitev (iz urbanih ali/in nakupovalnih središč), saj se je pokazalo, da starejši (moški) izrazito cenijo samostojnost, neodvisnost in avtonomnost, ki jih je opredeljevala v delovno aktivnem življenjskem obdobju.</w:t>
      </w:r>
    </w:p>
    <w:p w:rsidR="00E54927" w:rsidRPr="008D5676" w:rsidRDefault="0085618F" w:rsidP="000F68FF">
      <w:pPr>
        <w:spacing w:after="120" w:line="276" w:lineRule="auto"/>
        <w:jc w:val="both"/>
        <w:rPr>
          <w:rFonts w:cs="Arial"/>
          <w:color w:val="auto"/>
          <w:sz w:val="24"/>
          <w:szCs w:val="24"/>
        </w:rPr>
      </w:pPr>
      <w:r w:rsidRPr="008D5676">
        <w:rPr>
          <w:rFonts w:cs="Arial"/>
          <w:color w:val="auto"/>
          <w:sz w:val="24"/>
          <w:szCs w:val="24"/>
        </w:rPr>
        <w:t>7</w:t>
      </w:r>
      <w:r w:rsidR="00FC3994" w:rsidRPr="00D60DC3">
        <w:rPr>
          <w:rFonts w:cs="Arial"/>
          <w:color w:val="auto"/>
          <w:sz w:val="24"/>
          <w:szCs w:val="24"/>
        </w:rPr>
        <w:t>.</w:t>
      </w:r>
      <w:r w:rsidRPr="008D5676">
        <w:rPr>
          <w:rFonts w:cs="Arial"/>
          <w:color w:val="auto"/>
          <w:sz w:val="24"/>
          <w:szCs w:val="24"/>
        </w:rPr>
        <w:t xml:space="preserve"> </w:t>
      </w:r>
      <w:r w:rsidRPr="008D5676">
        <w:rPr>
          <w:rFonts w:cs="Arial"/>
          <w:b/>
          <w:color w:val="auto"/>
          <w:sz w:val="24"/>
          <w:szCs w:val="24"/>
        </w:rPr>
        <w:t>V lokalnih skupnostih pre</w:t>
      </w:r>
      <w:r w:rsidR="00E54927" w:rsidRPr="008D5676">
        <w:rPr>
          <w:rFonts w:cs="Arial"/>
          <w:b/>
          <w:color w:val="auto"/>
          <w:sz w:val="24"/>
          <w:szCs w:val="24"/>
        </w:rPr>
        <w:t>poznati neprecenljiv prispevek starejših odraslih kot »gibalcev družbenega razvoja« za širšo skupnost</w:t>
      </w:r>
      <w:r w:rsidR="00E54927" w:rsidRPr="008D5676">
        <w:rPr>
          <w:rFonts w:cs="Arial"/>
          <w:color w:val="auto"/>
          <w:sz w:val="24"/>
          <w:szCs w:val="24"/>
        </w:rPr>
        <w:t xml:space="preserve"> (vodenje društev upokojencev, karitativnih organizacij, </w:t>
      </w:r>
      <w:r w:rsidR="00FC3994" w:rsidRPr="00D60DC3">
        <w:rPr>
          <w:rFonts w:cs="Arial"/>
          <w:color w:val="auto"/>
          <w:sz w:val="24"/>
          <w:szCs w:val="24"/>
        </w:rPr>
        <w:t>u</w:t>
      </w:r>
      <w:r w:rsidR="00293A60" w:rsidRPr="008D5676">
        <w:rPr>
          <w:rFonts w:cs="Arial"/>
          <w:color w:val="auto"/>
          <w:sz w:val="24"/>
          <w:szCs w:val="24"/>
        </w:rPr>
        <w:t>niverze za tretje življenjsko obdobje</w:t>
      </w:r>
      <w:r w:rsidR="00E54927" w:rsidRPr="008D5676">
        <w:rPr>
          <w:rFonts w:cs="Arial"/>
          <w:color w:val="auto"/>
          <w:sz w:val="24"/>
          <w:szCs w:val="24"/>
        </w:rPr>
        <w:t>, številnih drugih NVO, strokovnih in prostovoljnih organizacij, ki niso vezani le na starejšo populacijo, projekte vzajemne pomoči med starejšimi in spontano vzajemno pomoč oz. zelo razširjeno prostovoljstvo, ko zlasti tretja generac</w:t>
      </w:r>
      <w:r w:rsidR="003B79E6" w:rsidRPr="00D60DC3">
        <w:rPr>
          <w:rFonts w:cs="Arial"/>
          <w:color w:val="auto"/>
          <w:sz w:val="24"/>
          <w:szCs w:val="24"/>
        </w:rPr>
        <w:t>i</w:t>
      </w:r>
      <w:r w:rsidR="00E54927" w:rsidRPr="008D5676">
        <w:rPr>
          <w:rFonts w:cs="Arial"/>
          <w:color w:val="auto"/>
          <w:sz w:val="24"/>
          <w:szCs w:val="24"/>
        </w:rPr>
        <w:t xml:space="preserve">ja </w:t>
      </w:r>
      <w:r w:rsidR="00FC3994" w:rsidRPr="00D60DC3">
        <w:rPr>
          <w:rFonts w:cs="Arial"/>
          <w:color w:val="auto"/>
          <w:sz w:val="24"/>
          <w:szCs w:val="24"/>
        </w:rPr>
        <w:t>daje</w:t>
      </w:r>
      <w:r w:rsidR="00E54927" w:rsidRPr="008D5676">
        <w:rPr>
          <w:rFonts w:cs="Arial"/>
          <w:color w:val="auto"/>
          <w:sz w:val="24"/>
          <w:szCs w:val="24"/>
        </w:rPr>
        <w:t xml:space="preserve"> oporo in skrbstvo četrti generaciji – v vseh teh </w:t>
      </w:r>
      <w:r w:rsidR="00FC3994" w:rsidRPr="00D60DC3">
        <w:rPr>
          <w:rFonts w:cs="Arial"/>
          <w:color w:val="auto"/>
          <w:sz w:val="24"/>
          <w:szCs w:val="24"/>
        </w:rPr>
        <w:t>pogled</w:t>
      </w:r>
      <w:r w:rsidR="00E54927" w:rsidRPr="008D5676">
        <w:rPr>
          <w:rFonts w:cs="Arial"/>
          <w:color w:val="auto"/>
          <w:sz w:val="24"/>
          <w:szCs w:val="24"/>
        </w:rPr>
        <w:t xml:space="preserve">ih je delovanje zlasti žensk neprecenljivo) in ga nagraditi (s priznanji, finančnimi </w:t>
      </w:r>
      <w:r w:rsidR="00FC3994" w:rsidRPr="00D60DC3">
        <w:rPr>
          <w:rFonts w:cs="Arial"/>
          <w:color w:val="auto"/>
          <w:sz w:val="24"/>
          <w:szCs w:val="24"/>
        </w:rPr>
        <w:t>s</w:t>
      </w:r>
      <w:r w:rsidR="00E54927" w:rsidRPr="008D5676">
        <w:rPr>
          <w:rFonts w:cs="Arial"/>
          <w:color w:val="auto"/>
          <w:sz w:val="24"/>
          <w:szCs w:val="24"/>
        </w:rPr>
        <w:t xml:space="preserve">podbudami za organizacije, z vabili na prireditve ob državnih idr. praznikih, povabili na kulturne idr. družbene dogodke). Ob tem pa pripraviti strategije za prenos znanj, praks, veščin, sposobnosti itn. na »prihajajočo« generacijo, ki teh znanj in sposobnosti (še) nima (niti zavedanja o pomenu družbenega dela in solidarnostnega udejstvovanja), kot tudi </w:t>
      </w:r>
      <w:r w:rsidR="00E54927" w:rsidRPr="008D5676">
        <w:rPr>
          <w:rFonts w:cs="Arial"/>
          <w:color w:val="auto"/>
          <w:sz w:val="24"/>
          <w:szCs w:val="24"/>
        </w:rPr>
        <w:lastRenderedPageBreak/>
        <w:t xml:space="preserve">zavedanja družbene blaginje in skupnega, ki ga je </w:t>
      </w:r>
      <w:r w:rsidR="000F68FF" w:rsidRPr="00D60DC3">
        <w:rPr>
          <w:rFonts w:cs="Arial"/>
          <w:color w:val="auto"/>
          <w:sz w:val="24"/>
          <w:szCs w:val="24"/>
        </w:rPr>
        <w:t>sedanja</w:t>
      </w:r>
      <w:r w:rsidR="00E54927" w:rsidRPr="008D5676">
        <w:rPr>
          <w:rFonts w:cs="Arial"/>
          <w:color w:val="auto"/>
          <w:sz w:val="24"/>
          <w:szCs w:val="24"/>
        </w:rPr>
        <w:t xml:space="preserve"> generacija starejših odraslih zgradila v svojem delovno aktivnem življenjskem obdobju.</w:t>
      </w:r>
    </w:p>
    <w:p w:rsidR="00E54927" w:rsidRPr="008D5676" w:rsidRDefault="0085618F" w:rsidP="003B79E6">
      <w:pPr>
        <w:spacing w:after="120" w:line="276" w:lineRule="auto"/>
        <w:jc w:val="both"/>
        <w:rPr>
          <w:rFonts w:cs="Arial"/>
          <w:color w:val="auto"/>
          <w:sz w:val="24"/>
          <w:szCs w:val="24"/>
        </w:rPr>
      </w:pPr>
      <w:r w:rsidRPr="008D5676">
        <w:rPr>
          <w:rFonts w:cs="Arial"/>
          <w:color w:val="auto"/>
          <w:sz w:val="24"/>
          <w:szCs w:val="24"/>
        </w:rPr>
        <w:t>8</w:t>
      </w:r>
      <w:r w:rsidR="000F68FF" w:rsidRPr="003A1760">
        <w:rPr>
          <w:rFonts w:cs="Arial"/>
          <w:color w:val="auto"/>
          <w:sz w:val="24"/>
          <w:szCs w:val="24"/>
        </w:rPr>
        <w:t>.</w:t>
      </w:r>
      <w:r w:rsidRPr="008D5676">
        <w:rPr>
          <w:rFonts w:cs="Arial"/>
          <w:color w:val="auto"/>
          <w:sz w:val="24"/>
          <w:szCs w:val="24"/>
        </w:rPr>
        <w:t xml:space="preserve"> </w:t>
      </w:r>
      <w:r w:rsidR="00E54927" w:rsidRPr="008D5676">
        <w:rPr>
          <w:rFonts w:cs="Arial"/>
          <w:b/>
          <w:color w:val="auto"/>
          <w:sz w:val="24"/>
          <w:szCs w:val="24"/>
        </w:rPr>
        <w:t>Povezati, koordinirati in nadgraditi dejavnosti in storitve, ki so namenjen</w:t>
      </w:r>
      <w:r w:rsidR="001655FA" w:rsidRPr="008D5676">
        <w:rPr>
          <w:rFonts w:cs="Arial"/>
          <w:b/>
          <w:color w:val="auto"/>
          <w:sz w:val="24"/>
          <w:szCs w:val="24"/>
        </w:rPr>
        <w:t>e</w:t>
      </w:r>
      <w:r w:rsidR="00E54927" w:rsidRPr="008D5676">
        <w:rPr>
          <w:rFonts w:cs="Arial"/>
          <w:b/>
          <w:color w:val="auto"/>
          <w:sz w:val="24"/>
          <w:szCs w:val="24"/>
        </w:rPr>
        <w:t xml:space="preserve"> starejšim odraslim </w:t>
      </w:r>
      <w:r w:rsidR="00E54927" w:rsidRPr="008D5676">
        <w:rPr>
          <w:rFonts w:cs="Arial"/>
          <w:color w:val="auto"/>
          <w:sz w:val="24"/>
          <w:szCs w:val="24"/>
        </w:rPr>
        <w:t xml:space="preserve">(DCA, </w:t>
      </w:r>
      <w:r w:rsidR="000F68FF" w:rsidRPr="003A1760">
        <w:rPr>
          <w:rFonts w:cs="Arial"/>
          <w:color w:val="auto"/>
          <w:sz w:val="24"/>
          <w:szCs w:val="24"/>
        </w:rPr>
        <w:t>u</w:t>
      </w:r>
      <w:r w:rsidR="00F15A9E" w:rsidRPr="008D5676">
        <w:rPr>
          <w:rFonts w:cs="Arial"/>
          <w:color w:val="auto"/>
          <w:sz w:val="24"/>
          <w:szCs w:val="24"/>
        </w:rPr>
        <w:t>niverze za tretje življenjsko obdobje</w:t>
      </w:r>
      <w:r w:rsidR="00E54927" w:rsidRPr="008D5676">
        <w:rPr>
          <w:rFonts w:cs="Arial"/>
          <w:color w:val="auto"/>
          <w:sz w:val="24"/>
          <w:szCs w:val="24"/>
        </w:rPr>
        <w:t>, medgeneracijski</w:t>
      </w:r>
      <w:r w:rsidR="001F6D42" w:rsidRPr="008D5676">
        <w:rPr>
          <w:rFonts w:cs="Arial"/>
          <w:color w:val="auto"/>
          <w:sz w:val="24"/>
          <w:szCs w:val="24"/>
        </w:rPr>
        <w:t>h</w:t>
      </w:r>
      <w:r w:rsidR="00E54927" w:rsidRPr="008D5676">
        <w:rPr>
          <w:rFonts w:cs="Arial"/>
          <w:color w:val="auto"/>
          <w:sz w:val="24"/>
          <w:szCs w:val="24"/>
        </w:rPr>
        <w:t xml:space="preserve"> centr</w:t>
      </w:r>
      <w:r w:rsidR="001F6D42" w:rsidRPr="008D5676">
        <w:rPr>
          <w:rFonts w:cs="Arial"/>
          <w:color w:val="auto"/>
          <w:sz w:val="24"/>
          <w:szCs w:val="24"/>
        </w:rPr>
        <w:t>ov</w:t>
      </w:r>
      <w:r w:rsidR="001655FA" w:rsidRPr="008D5676">
        <w:rPr>
          <w:rFonts w:cs="Arial"/>
          <w:color w:val="auto"/>
          <w:sz w:val="24"/>
          <w:szCs w:val="24"/>
        </w:rPr>
        <w:t>, domov</w:t>
      </w:r>
      <w:r w:rsidR="00E54927" w:rsidRPr="008D5676">
        <w:rPr>
          <w:rFonts w:cs="Arial"/>
          <w:color w:val="auto"/>
          <w:sz w:val="24"/>
          <w:szCs w:val="24"/>
        </w:rPr>
        <w:t xml:space="preserve"> starejših občanov itn.)</w:t>
      </w:r>
      <w:r w:rsidR="000F68FF" w:rsidRPr="003A1760">
        <w:rPr>
          <w:rFonts w:cs="Arial"/>
          <w:color w:val="auto"/>
          <w:sz w:val="24"/>
          <w:szCs w:val="24"/>
        </w:rPr>
        <w:t>, da bodo</w:t>
      </w:r>
      <w:r w:rsidR="00E54927" w:rsidRPr="008D5676">
        <w:rPr>
          <w:rFonts w:cs="Arial"/>
          <w:color w:val="auto"/>
          <w:sz w:val="24"/>
          <w:szCs w:val="24"/>
        </w:rPr>
        <w:t xml:space="preserve"> dostopn</w:t>
      </w:r>
      <w:r w:rsidR="000F68FF" w:rsidRPr="003A1760">
        <w:rPr>
          <w:rFonts w:cs="Arial"/>
          <w:color w:val="auto"/>
          <w:sz w:val="24"/>
          <w:szCs w:val="24"/>
        </w:rPr>
        <w:t>ejše</w:t>
      </w:r>
      <w:r w:rsidR="00E54927" w:rsidRPr="008D5676">
        <w:rPr>
          <w:rFonts w:cs="Arial"/>
          <w:color w:val="auto"/>
          <w:sz w:val="24"/>
          <w:szCs w:val="24"/>
        </w:rPr>
        <w:t xml:space="preserve"> vse</w:t>
      </w:r>
      <w:r w:rsidR="000F68FF" w:rsidRPr="003A1760">
        <w:rPr>
          <w:rFonts w:cs="Arial"/>
          <w:color w:val="auto"/>
          <w:sz w:val="24"/>
          <w:szCs w:val="24"/>
        </w:rPr>
        <w:t>m</w:t>
      </w:r>
      <w:r w:rsidR="00E54927" w:rsidRPr="008D5676">
        <w:rPr>
          <w:rFonts w:cs="Arial"/>
          <w:color w:val="auto"/>
          <w:sz w:val="24"/>
          <w:szCs w:val="24"/>
        </w:rPr>
        <w:t xml:space="preserve"> starejš</w:t>
      </w:r>
      <w:r w:rsidR="000F68FF" w:rsidRPr="003A1760">
        <w:rPr>
          <w:rFonts w:cs="Arial"/>
          <w:color w:val="auto"/>
          <w:sz w:val="24"/>
          <w:szCs w:val="24"/>
        </w:rPr>
        <w:t>im</w:t>
      </w:r>
      <w:r w:rsidR="00E54927" w:rsidRPr="008D5676">
        <w:rPr>
          <w:rFonts w:cs="Arial"/>
          <w:color w:val="auto"/>
          <w:sz w:val="24"/>
          <w:szCs w:val="24"/>
        </w:rPr>
        <w:t xml:space="preserve"> odrasl</w:t>
      </w:r>
      <w:r w:rsidR="000F68FF" w:rsidRPr="003A1760">
        <w:rPr>
          <w:rFonts w:cs="Arial"/>
          <w:color w:val="auto"/>
          <w:sz w:val="24"/>
          <w:szCs w:val="24"/>
        </w:rPr>
        <w:t>im</w:t>
      </w:r>
      <w:r w:rsidR="00E54927" w:rsidRPr="008D5676">
        <w:rPr>
          <w:rFonts w:cs="Arial"/>
          <w:color w:val="auto"/>
          <w:sz w:val="24"/>
          <w:szCs w:val="24"/>
        </w:rPr>
        <w:t xml:space="preserve"> (tudi mošk</w:t>
      </w:r>
      <w:r w:rsidR="000F68FF" w:rsidRPr="003A1760">
        <w:rPr>
          <w:rFonts w:cs="Arial"/>
          <w:color w:val="auto"/>
          <w:sz w:val="24"/>
          <w:szCs w:val="24"/>
        </w:rPr>
        <w:t>im</w:t>
      </w:r>
      <w:r w:rsidR="00E54927" w:rsidRPr="008D5676">
        <w:rPr>
          <w:rFonts w:cs="Arial"/>
          <w:color w:val="auto"/>
          <w:sz w:val="24"/>
          <w:szCs w:val="24"/>
        </w:rPr>
        <w:t xml:space="preserve">, tudi brezplačno itn.), </w:t>
      </w:r>
      <w:r w:rsidR="000F68FF" w:rsidRPr="003A1760">
        <w:rPr>
          <w:rFonts w:cs="Arial"/>
          <w:color w:val="auto"/>
          <w:sz w:val="24"/>
          <w:szCs w:val="24"/>
        </w:rPr>
        <w:t>tesnejše</w:t>
      </w:r>
      <w:r w:rsidR="00E54927" w:rsidRPr="008D5676">
        <w:rPr>
          <w:rFonts w:cs="Arial"/>
          <w:color w:val="auto"/>
          <w:sz w:val="24"/>
          <w:szCs w:val="24"/>
        </w:rPr>
        <w:t xml:space="preserve"> povezanosti in izmenjave. Pri tem naj lokalne oblasti poskrbijo zlasti za </w:t>
      </w:r>
      <w:r w:rsidR="00E54927" w:rsidRPr="008D5676">
        <w:rPr>
          <w:rFonts w:cs="Arial"/>
          <w:b/>
          <w:color w:val="auto"/>
          <w:sz w:val="24"/>
          <w:szCs w:val="24"/>
        </w:rPr>
        <w:t>ustrezne prostore</w:t>
      </w:r>
      <w:r w:rsidR="00E54927" w:rsidRPr="008D5676">
        <w:rPr>
          <w:rFonts w:cs="Arial"/>
          <w:color w:val="auto"/>
          <w:sz w:val="24"/>
          <w:szCs w:val="24"/>
        </w:rPr>
        <w:t xml:space="preserve"> (večina obravnavanih organizacij za starejše odrasle je imela neustrezne, prema</w:t>
      </w:r>
      <w:r w:rsidR="003B79E6" w:rsidRPr="003A1760">
        <w:rPr>
          <w:rFonts w:cs="Arial"/>
          <w:color w:val="auto"/>
          <w:sz w:val="24"/>
          <w:szCs w:val="24"/>
        </w:rPr>
        <w:t>j</w:t>
      </w:r>
      <w:r w:rsidR="00E54927" w:rsidRPr="008D5676">
        <w:rPr>
          <w:rFonts w:cs="Arial"/>
          <w:color w:val="auto"/>
          <w:sz w:val="24"/>
          <w:szCs w:val="24"/>
        </w:rPr>
        <w:t xml:space="preserve">hne in/ali plačljive prostore, ki se niso mogli razvijati v zbirališča, stekališča, centre) </w:t>
      </w:r>
      <w:r w:rsidR="00E54927" w:rsidRPr="008D5676">
        <w:rPr>
          <w:rFonts w:cs="Arial"/>
          <w:b/>
          <w:color w:val="auto"/>
          <w:sz w:val="24"/>
          <w:szCs w:val="24"/>
        </w:rPr>
        <w:t>ter za sofinanciranje</w:t>
      </w:r>
      <w:r w:rsidR="00E54927" w:rsidRPr="008D5676">
        <w:rPr>
          <w:rFonts w:cs="Arial"/>
          <w:color w:val="auto"/>
          <w:sz w:val="24"/>
          <w:szCs w:val="24"/>
        </w:rPr>
        <w:t xml:space="preserve"> dejavnosti in storitev, ki so danes pretežno </w:t>
      </w:r>
      <w:r w:rsidR="000F68FF" w:rsidRPr="003A1760">
        <w:rPr>
          <w:rFonts w:cs="Arial"/>
          <w:color w:val="auto"/>
          <w:sz w:val="24"/>
          <w:szCs w:val="24"/>
        </w:rPr>
        <w:t>podrejene</w:t>
      </w:r>
      <w:r w:rsidR="00E54927" w:rsidRPr="008D5676">
        <w:rPr>
          <w:rFonts w:cs="Arial"/>
          <w:color w:val="auto"/>
          <w:sz w:val="24"/>
          <w:szCs w:val="24"/>
        </w:rPr>
        <w:t xml:space="preserve"> birokratsko zahtevnim razpisom (javnim in evropskim) ter trgu (javna rekreacijska in športna infrastruktura, finančno dostopni kulturni idr. dogodki; (iz</w:t>
      </w:r>
      <w:r w:rsidR="000F68FF" w:rsidRPr="003A1760">
        <w:rPr>
          <w:rFonts w:cs="Arial"/>
          <w:color w:val="auto"/>
          <w:sz w:val="24"/>
          <w:szCs w:val="24"/>
        </w:rPr>
        <w:t>kazana</w:t>
      </w:r>
      <w:r w:rsidR="00E54927" w:rsidRPr="008D5676">
        <w:rPr>
          <w:rFonts w:cs="Arial"/>
          <w:color w:val="auto"/>
          <w:sz w:val="24"/>
          <w:szCs w:val="24"/>
        </w:rPr>
        <w:t xml:space="preserve"> potreba po kulturnem domu v Ajdovščini)). </w:t>
      </w:r>
    </w:p>
    <w:p w:rsidR="00E54927" w:rsidRDefault="000F4B56" w:rsidP="003B79E6">
      <w:pPr>
        <w:spacing w:after="120" w:line="276" w:lineRule="auto"/>
        <w:jc w:val="both"/>
        <w:rPr>
          <w:rFonts w:cs="Arial"/>
          <w:color w:val="auto"/>
          <w:sz w:val="24"/>
          <w:szCs w:val="24"/>
        </w:rPr>
      </w:pPr>
      <w:r w:rsidRPr="008D5676">
        <w:rPr>
          <w:rFonts w:cs="Arial"/>
          <w:color w:val="auto"/>
          <w:sz w:val="24"/>
          <w:szCs w:val="24"/>
        </w:rPr>
        <w:t>9</w:t>
      </w:r>
      <w:r w:rsidR="000F68FF" w:rsidRPr="003A1760">
        <w:rPr>
          <w:rFonts w:cs="Arial"/>
          <w:color w:val="auto"/>
          <w:sz w:val="24"/>
          <w:szCs w:val="24"/>
        </w:rPr>
        <w:t>.</w:t>
      </w:r>
      <w:r w:rsidRPr="008D5676">
        <w:rPr>
          <w:rFonts w:cs="Arial"/>
          <w:color w:val="auto"/>
          <w:sz w:val="24"/>
          <w:szCs w:val="24"/>
        </w:rPr>
        <w:t xml:space="preserve"> </w:t>
      </w:r>
      <w:r w:rsidR="00E54927" w:rsidRPr="008D5676">
        <w:rPr>
          <w:rFonts w:cs="Arial"/>
          <w:b/>
          <w:color w:val="auto"/>
          <w:sz w:val="24"/>
          <w:szCs w:val="24"/>
        </w:rPr>
        <w:t>Senzibilnost za že obstoječe in potencialne nove dobre prakse</w:t>
      </w:r>
      <w:r w:rsidR="000F68FF" w:rsidRPr="003A1760">
        <w:rPr>
          <w:rFonts w:cs="Arial"/>
          <w:b/>
          <w:color w:val="auto"/>
          <w:sz w:val="24"/>
          <w:szCs w:val="24"/>
        </w:rPr>
        <w:t>,</w:t>
      </w:r>
      <w:r w:rsidR="00E54927" w:rsidRPr="008D5676">
        <w:rPr>
          <w:rFonts w:cs="Arial"/>
          <w:b/>
          <w:color w:val="auto"/>
          <w:sz w:val="24"/>
          <w:szCs w:val="24"/>
        </w:rPr>
        <w:t xml:space="preserve"> iz</w:t>
      </w:r>
      <w:r w:rsidR="00D45345" w:rsidRPr="008D5676">
        <w:rPr>
          <w:rFonts w:cs="Arial"/>
          <w:b/>
          <w:color w:val="auto"/>
          <w:sz w:val="24"/>
          <w:szCs w:val="24"/>
        </w:rPr>
        <w:t>vedene</w:t>
      </w:r>
      <w:r w:rsidR="00E54927" w:rsidRPr="008D5676">
        <w:rPr>
          <w:rFonts w:cs="Arial"/>
          <w:b/>
          <w:color w:val="auto"/>
          <w:sz w:val="24"/>
          <w:szCs w:val="24"/>
        </w:rPr>
        <w:t xml:space="preserve"> doma ali v tujini</w:t>
      </w:r>
      <w:r w:rsidR="00E54927" w:rsidRPr="008D5676">
        <w:rPr>
          <w:rFonts w:cs="Arial"/>
          <w:color w:val="auto"/>
          <w:sz w:val="24"/>
          <w:szCs w:val="24"/>
        </w:rPr>
        <w:t xml:space="preserve">: </w:t>
      </w:r>
      <w:r w:rsidR="000F68FF" w:rsidRPr="003A1760">
        <w:rPr>
          <w:rFonts w:cs="Arial"/>
          <w:color w:val="auto"/>
          <w:sz w:val="24"/>
          <w:szCs w:val="24"/>
        </w:rPr>
        <w:t>S</w:t>
      </w:r>
      <w:r w:rsidR="00E54927" w:rsidRPr="008D5676">
        <w:rPr>
          <w:rFonts w:cs="Arial"/>
          <w:color w:val="auto"/>
          <w:sz w:val="24"/>
          <w:szCs w:val="24"/>
        </w:rPr>
        <w:t>tarejši moški, vključeni v našo raziskavo, so bili najbolj ogorčeni in obupani nad družbenopolitičnimi in socialno-ekonomskimi razmerami v državi, pri čemer so bili bolj kot z lastno kakovostjo življenja obremenjeni s kakovostjo življen</w:t>
      </w:r>
      <w:r w:rsidRPr="008D5676">
        <w:rPr>
          <w:rFonts w:cs="Arial"/>
          <w:color w:val="auto"/>
          <w:sz w:val="24"/>
          <w:szCs w:val="24"/>
        </w:rPr>
        <w:t>ja brezpos</w:t>
      </w:r>
      <w:r w:rsidR="000F68FF" w:rsidRPr="003A1760">
        <w:rPr>
          <w:rFonts w:cs="Arial"/>
          <w:color w:val="auto"/>
          <w:sz w:val="24"/>
          <w:szCs w:val="24"/>
        </w:rPr>
        <w:t>e</w:t>
      </w:r>
      <w:r w:rsidRPr="008D5676">
        <w:rPr>
          <w:rFonts w:cs="Arial"/>
          <w:color w:val="auto"/>
          <w:sz w:val="24"/>
          <w:szCs w:val="24"/>
        </w:rPr>
        <w:t xml:space="preserve">lnih mladih, revnih </w:t>
      </w:r>
      <w:r w:rsidR="000F68FF" w:rsidRPr="003A1760">
        <w:rPr>
          <w:rFonts w:cs="Arial"/>
          <w:color w:val="auto"/>
          <w:sz w:val="24"/>
          <w:szCs w:val="24"/>
        </w:rPr>
        <w:t>in</w:t>
      </w:r>
      <w:r w:rsidRPr="008D5676">
        <w:rPr>
          <w:rFonts w:cs="Arial"/>
          <w:color w:val="auto"/>
          <w:sz w:val="24"/>
          <w:szCs w:val="24"/>
        </w:rPr>
        <w:t xml:space="preserve"> tistih </w:t>
      </w:r>
      <w:r w:rsidR="00E54927" w:rsidRPr="008D5676">
        <w:rPr>
          <w:rFonts w:cs="Arial"/>
          <w:color w:val="auto"/>
          <w:sz w:val="24"/>
          <w:szCs w:val="24"/>
        </w:rPr>
        <w:t xml:space="preserve">zaposlenih, ki so kljub plači odvisni od socialne </w:t>
      </w:r>
      <w:r w:rsidR="000F68FF" w:rsidRPr="003A1760">
        <w:rPr>
          <w:rFonts w:cs="Arial"/>
          <w:color w:val="auto"/>
          <w:sz w:val="24"/>
          <w:szCs w:val="24"/>
        </w:rPr>
        <w:t>pomoči,</w:t>
      </w:r>
      <w:r w:rsidR="00E54927" w:rsidRPr="008D5676">
        <w:rPr>
          <w:rFonts w:cs="Arial"/>
          <w:color w:val="auto"/>
          <w:sz w:val="24"/>
          <w:szCs w:val="24"/>
        </w:rPr>
        <w:t xml:space="preserve"> itn. Skrb in odgovornost za družbeno blaginjo, ki bi morala biti v rokah javnih politik in institucij, tudi občinskih, krajevnih in četrtnih skupnosti, naj se odrazi v prenosu že uveljavljenih in preizkušenih mikropraks, ki jih razkrivamo v posameznih analizah tega projekta in ki </w:t>
      </w:r>
      <w:r w:rsidR="000F68FF" w:rsidRPr="003A1760">
        <w:rPr>
          <w:rFonts w:cs="Arial"/>
          <w:color w:val="auto"/>
          <w:sz w:val="24"/>
          <w:szCs w:val="24"/>
        </w:rPr>
        <w:t>teži</w:t>
      </w:r>
      <w:r w:rsidR="00E54927" w:rsidRPr="008D5676">
        <w:rPr>
          <w:rFonts w:cs="Arial"/>
          <w:color w:val="auto"/>
          <w:sz w:val="24"/>
          <w:szCs w:val="24"/>
        </w:rPr>
        <w:t xml:space="preserve">jo k večjemu sodelovanju, izmenjavi in povezanosti – v smeri demokratizacije družbenega, ekonomskega in političnega.   </w:t>
      </w:r>
    </w:p>
    <w:p w:rsidR="0037379A" w:rsidRDefault="0037379A" w:rsidP="003B79E6">
      <w:pPr>
        <w:spacing w:after="120" w:line="276" w:lineRule="auto"/>
        <w:jc w:val="both"/>
        <w:rPr>
          <w:rFonts w:cs="Arial"/>
          <w:color w:val="auto"/>
          <w:sz w:val="24"/>
          <w:szCs w:val="24"/>
        </w:rPr>
      </w:pPr>
    </w:p>
    <w:p w:rsidR="0037379A" w:rsidRPr="00DF5460" w:rsidRDefault="0037379A" w:rsidP="0037379A">
      <w:pPr>
        <w:pStyle w:val="nagwek1"/>
        <w:spacing w:line="276" w:lineRule="auto"/>
        <w:rPr>
          <w:rFonts w:asciiTheme="minorHAnsi" w:hAnsiTheme="minorHAnsi"/>
          <w:b/>
          <w:sz w:val="24"/>
          <w:szCs w:val="24"/>
          <w:lang w:val="it-IT"/>
        </w:rPr>
      </w:pPr>
      <w:r>
        <w:rPr>
          <w:rFonts w:asciiTheme="minorHAnsi" w:hAnsiTheme="minorHAnsi"/>
          <w:b/>
          <w:sz w:val="24"/>
          <w:szCs w:val="24"/>
          <w:lang w:val="it-IT"/>
        </w:rPr>
        <w:t>literatura</w:t>
      </w:r>
      <w:r w:rsidRPr="00DF5460">
        <w:rPr>
          <w:rFonts w:asciiTheme="minorHAnsi" w:hAnsiTheme="minorHAnsi"/>
          <w:b/>
          <w:sz w:val="24"/>
          <w:szCs w:val="24"/>
          <w:lang w:val="it-IT"/>
        </w:rPr>
        <w:t>:</w:t>
      </w:r>
    </w:p>
    <w:p w:rsidR="0037379A" w:rsidRPr="0037379A" w:rsidRDefault="0037379A" w:rsidP="0037379A">
      <w:pPr>
        <w:spacing w:after="120" w:line="276" w:lineRule="auto"/>
        <w:rPr>
          <w:rFonts w:eastAsia="Times New Roman" w:cs="Arial"/>
          <w:color w:val="auto"/>
          <w:sz w:val="23"/>
          <w:szCs w:val="23"/>
          <w:lang w:val="it-IT" w:eastAsia="sl-SI"/>
        </w:rPr>
      </w:pPr>
      <w:r w:rsidRPr="0037379A">
        <w:rPr>
          <w:rFonts w:eastAsia="Times New Roman" w:cs="Arial"/>
          <w:color w:val="auto"/>
          <w:sz w:val="23"/>
          <w:szCs w:val="23"/>
          <w:lang w:val="it-IT" w:eastAsia="sl-SI"/>
        </w:rPr>
        <w:t>CSD (Center za socialno delo KS Bežigrad) (2018). Letno poročilo o delu na Centru za socialno delo Ljubljana Bežigrad. Dostopno na: http://csd-lj-bezigrad.si/wp-content/uploads/2018/02/Letno-poro%C4%8Dilo-o-delu-na-CSD-Ljubljana-Be%C5%BEigrad-2017.pdf</w:t>
      </w:r>
    </w:p>
    <w:p w:rsidR="0037379A" w:rsidRPr="0037379A" w:rsidRDefault="0037379A" w:rsidP="0037379A">
      <w:pPr>
        <w:spacing w:after="120" w:line="276" w:lineRule="auto"/>
        <w:rPr>
          <w:iCs/>
          <w:color w:val="auto"/>
          <w:sz w:val="23"/>
          <w:szCs w:val="23"/>
          <w:lang w:val="pl-PL" w:eastAsia="en-US"/>
        </w:rPr>
      </w:pPr>
      <w:r w:rsidRPr="0037379A">
        <w:rPr>
          <w:color w:val="auto"/>
          <w:sz w:val="23"/>
          <w:szCs w:val="23"/>
        </w:rPr>
        <w:t xml:space="preserve">Črnak-Meglič, A., in T. Rakar (2009). The role of the third sector in the Slovenian welfare system. </w:t>
      </w:r>
      <w:hyperlink r:id="rId11" w:history="1">
        <w:r w:rsidRPr="0037379A">
          <w:rPr>
            <w:rStyle w:val="Hyperlink"/>
            <w:i/>
            <w:iCs/>
            <w:color w:val="auto"/>
            <w:sz w:val="23"/>
            <w:szCs w:val="23"/>
            <w:u w:val="none"/>
          </w:rPr>
          <w:t>Teorija in praksa</w:t>
        </w:r>
      </w:hyperlink>
      <w:r w:rsidRPr="0037379A">
        <w:rPr>
          <w:i/>
          <w:iCs/>
          <w:color w:val="auto"/>
          <w:sz w:val="23"/>
          <w:szCs w:val="23"/>
        </w:rPr>
        <w:t xml:space="preserve">, </w:t>
      </w:r>
      <w:r w:rsidRPr="0037379A">
        <w:rPr>
          <w:iCs/>
          <w:color w:val="auto"/>
          <w:sz w:val="23"/>
          <w:szCs w:val="23"/>
        </w:rPr>
        <w:t>46(3), 237–254</w:t>
      </w:r>
      <w:r w:rsidRPr="0037379A">
        <w:rPr>
          <w:color w:val="auto"/>
          <w:sz w:val="23"/>
          <w:szCs w:val="23"/>
        </w:rPr>
        <w:t>.</w:t>
      </w:r>
    </w:p>
    <w:p w:rsidR="0037379A" w:rsidRPr="0037379A" w:rsidRDefault="0037379A" w:rsidP="0037379A">
      <w:pPr>
        <w:spacing w:after="120" w:line="276" w:lineRule="auto"/>
        <w:rPr>
          <w:rFonts w:eastAsia="Times New Roman" w:cs="Arial"/>
          <w:color w:val="auto"/>
          <w:sz w:val="23"/>
          <w:szCs w:val="23"/>
          <w:lang w:eastAsia="sl-SI"/>
        </w:rPr>
      </w:pPr>
      <w:r w:rsidRPr="0037379A">
        <w:rPr>
          <w:rFonts w:eastAsia="Times New Roman" w:cs="Arial"/>
          <w:color w:val="auto"/>
          <w:sz w:val="23"/>
          <w:szCs w:val="23"/>
          <w:lang w:eastAsia="sl-SI"/>
        </w:rPr>
        <w:t>Drofenik, O. (-ravni. 2015). Izobraževanje odraslih v moji občini. Fokusna razprava županov v obdobju 2014–2015. Ljubljana: Andragoško društvo Slovenije. Dostopno na: http://www.andragosko-drustvo.si/wp-content/uploads/2015/08/Povzetek-ugotovitvev-o-upravljanju-IO-na-lokalni pdf</w:t>
      </w:r>
    </w:p>
    <w:p w:rsidR="0037379A" w:rsidRPr="0037379A" w:rsidRDefault="0037379A" w:rsidP="0037379A">
      <w:pPr>
        <w:spacing w:after="120" w:line="276" w:lineRule="auto"/>
        <w:rPr>
          <w:rFonts w:cs="TisaSansPro"/>
          <w:color w:val="auto"/>
          <w:sz w:val="23"/>
          <w:szCs w:val="23"/>
        </w:rPr>
      </w:pPr>
      <w:r w:rsidRPr="0037379A">
        <w:rPr>
          <w:rFonts w:cs="TisaSansPro"/>
          <w:color w:val="auto"/>
          <w:sz w:val="23"/>
          <w:szCs w:val="23"/>
        </w:rPr>
        <w:t xml:space="preserve">Eurofound (2009). </w:t>
      </w:r>
      <w:r w:rsidRPr="0037379A">
        <w:rPr>
          <w:rFonts w:eastAsia="Times New Roman" w:cs="Arial"/>
          <w:color w:val="auto"/>
          <w:sz w:val="23"/>
          <w:szCs w:val="23"/>
          <w:lang w:eastAsia="sl-SI"/>
        </w:rPr>
        <w:t xml:space="preserve">Measures for social inclusion of the elderly: The case of volunteering. Working paper. </w:t>
      </w:r>
      <w:r w:rsidRPr="0037379A">
        <w:rPr>
          <w:rFonts w:eastAsia="Times New Roman" w:cs="Arial"/>
          <w:color w:val="auto"/>
          <w:sz w:val="23"/>
          <w:szCs w:val="23"/>
          <w:lang w:val="en-US" w:eastAsia="sl-SI"/>
        </w:rPr>
        <w:t xml:space="preserve">Dostopno </w:t>
      </w:r>
      <w:proofErr w:type="gramStart"/>
      <w:r w:rsidRPr="0037379A">
        <w:rPr>
          <w:rFonts w:eastAsia="Times New Roman" w:cs="Arial"/>
          <w:color w:val="auto"/>
          <w:sz w:val="23"/>
          <w:szCs w:val="23"/>
          <w:lang w:val="en-US" w:eastAsia="sl-SI"/>
        </w:rPr>
        <w:t>na</w:t>
      </w:r>
      <w:proofErr w:type="gramEnd"/>
      <w:r w:rsidRPr="0037379A">
        <w:rPr>
          <w:rFonts w:eastAsia="Times New Roman" w:cs="Arial"/>
          <w:color w:val="auto"/>
          <w:sz w:val="23"/>
          <w:szCs w:val="23"/>
          <w:lang w:val="en-US" w:eastAsia="sl-SI"/>
        </w:rPr>
        <w:t xml:space="preserve">: </w:t>
      </w:r>
      <w:r w:rsidRPr="0037379A">
        <w:rPr>
          <w:rFonts w:cs="TisaSansPro"/>
          <w:color w:val="auto"/>
          <w:sz w:val="23"/>
          <w:szCs w:val="23"/>
        </w:rPr>
        <w:t>https://www.fabi.it/public/documenti/welfare/8781eurofound_10_09.pdf</w:t>
      </w:r>
    </w:p>
    <w:p w:rsidR="0037379A" w:rsidRPr="0037379A" w:rsidRDefault="0037379A" w:rsidP="0037379A">
      <w:pPr>
        <w:spacing w:after="120" w:line="276" w:lineRule="auto"/>
        <w:rPr>
          <w:rFonts w:cs="TisaSansPro"/>
          <w:color w:val="auto"/>
          <w:sz w:val="23"/>
          <w:szCs w:val="23"/>
        </w:rPr>
      </w:pPr>
      <w:r w:rsidRPr="0037379A">
        <w:rPr>
          <w:rFonts w:cs="TisaSansPro"/>
          <w:color w:val="auto"/>
          <w:sz w:val="23"/>
          <w:szCs w:val="23"/>
        </w:rPr>
        <w:lastRenderedPageBreak/>
        <w:t xml:space="preserve">Eurostat (2017). Selected papers from the 2016 Conference of European  Statistics   Stakeholders. </w:t>
      </w:r>
      <w:r w:rsidRPr="0037379A">
        <w:rPr>
          <w:rFonts w:eastAsia="Times New Roman" w:cs="Arial"/>
          <w:color w:val="auto"/>
          <w:sz w:val="23"/>
          <w:szCs w:val="23"/>
          <w:lang w:val="it-IT" w:eastAsia="sl-SI"/>
        </w:rPr>
        <w:t xml:space="preserve">Dostopno na: </w:t>
      </w:r>
      <w:r w:rsidRPr="0037379A">
        <w:rPr>
          <w:rFonts w:cs="TisaSansPro"/>
          <w:color w:val="auto"/>
          <w:sz w:val="23"/>
          <w:szCs w:val="23"/>
        </w:rPr>
        <w:t>http://ec.europa.eu/eurostat/documents/3888793/8435601/KS-TC-17-006-EN-N.pdf/68310461-0930-4c1d-b935-dfdcd9f36f53</w:t>
      </w:r>
    </w:p>
    <w:p w:rsidR="0037379A" w:rsidRPr="0037379A" w:rsidRDefault="0037379A" w:rsidP="0037379A">
      <w:pPr>
        <w:spacing w:after="120" w:line="276" w:lineRule="auto"/>
        <w:rPr>
          <w:rFonts w:cs="TisaSansPro"/>
          <w:color w:val="auto"/>
          <w:sz w:val="23"/>
          <w:szCs w:val="23"/>
        </w:rPr>
      </w:pPr>
      <w:r w:rsidRPr="0037379A">
        <w:rPr>
          <w:rFonts w:cs="TisaSansPro"/>
          <w:color w:val="auto"/>
          <w:sz w:val="23"/>
          <w:szCs w:val="23"/>
        </w:rPr>
        <w:t>Eurostat (2018). Podatki dostopni na: http://ec.europa.eu/eurostat/data/database</w:t>
      </w:r>
    </w:p>
    <w:p w:rsidR="0037379A" w:rsidRPr="0037379A" w:rsidRDefault="0037379A" w:rsidP="0037379A">
      <w:pPr>
        <w:spacing w:after="120" w:line="276" w:lineRule="auto"/>
        <w:rPr>
          <w:rFonts w:cs="TisaSansPro"/>
          <w:color w:val="auto"/>
          <w:sz w:val="23"/>
          <w:szCs w:val="23"/>
        </w:rPr>
      </w:pPr>
      <w:r w:rsidRPr="0037379A">
        <w:rPr>
          <w:rFonts w:cs="TisaSansPro"/>
          <w:color w:val="auto"/>
          <w:sz w:val="23"/>
          <w:szCs w:val="23"/>
        </w:rPr>
        <w:t xml:space="preserve">Filipovič Hrast, M., V. Hlebec in M. Kavčič (2012). The Social Exclusion of the Elderly: A Mixed-Methods Study in Slovenia. </w:t>
      </w:r>
      <w:r w:rsidRPr="0037379A">
        <w:rPr>
          <w:rFonts w:cs="TisaSansPro"/>
          <w:i/>
          <w:color w:val="auto"/>
          <w:sz w:val="23"/>
          <w:szCs w:val="23"/>
        </w:rPr>
        <w:t>Czech Sociological Review</w:t>
      </w:r>
      <w:r w:rsidRPr="0037379A">
        <w:rPr>
          <w:rFonts w:cs="TisaSansPro"/>
          <w:color w:val="auto"/>
          <w:sz w:val="23"/>
          <w:szCs w:val="23"/>
        </w:rPr>
        <w:t>, 48(6): 1051–1074.</w:t>
      </w:r>
    </w:p>
    <w:p w:rsidR="0037379A" w:rsidRPr="0037379A" w:rsidRDefault="0037379A" w:rsidP="0037379A">
      <w:pPr>
        <w:spacing w:after="120" w:line="276" w:lineRule="auto"/>
        <w:rPr>
          <w:rFonts w:cs="TisaSansPro"/>
          <w:color w:val="auto"/>
          <w:sz w:val="23"/>
          <w:szCs w:val="23"/>
        </w:rPr>
      </w:pPr>
      <w:r w:rsidRPr="0037379A">
        <w:rPr>
          <w:rFonts w:cs="TisaSansPro"/>
          <w:i/>
          <w:color w:val="auto"/>
          <w:sz w:val="23"/>
          <w:szCs w:val="23"/>
        </w:rPr>
        <w:t>Foresight Mental Capital and Wellbeing Project</w:t>
      </w:r>
      <w:r w:rsidRPr="0037379A">
        <w:rPr>
          <w:rFonts w:cs="TisaSansPro"/>
          <w:color w:val="auto"/>
          <w:sz w:val="23"/>
          <w:szCs w:val="23"/>
        </w:rPr>
        <w:t xml:space="preserve"> (2008). </w:t>
      </w:r>
      <w:r w:rsidRPr="0037379A">
        <w:rPr>
          <w:rFonts w:cs="TisaSansPro"/>
          <w:i/>
          <w:color w:val="auto"/>
          <w:sz w:val="23"/>
          <w:szCs w:val="23"/>
        </w:rPr>
        <w:t>Final project report: Executive summary</w:t>
      </w:r>
      <w:r w:rsidRPr="0037379A">
        <w:rPr>
          <w:rFonts w:cs="TisaSansPro"/>
          <w:color w:val="auto"/>
          <w:sz w:val="23"/>
          <w:szCs w:val="23"/>
        </w:rPr>
        <w:t>. London: Government Office for Science.</w:t>
      </w:r>
    </w:p>
    <w:p w:rsidR="0037379A" w:rsidRPr="0037379A" w:rsidRDefault="0037379A" w:rsidP="0037379A">
      <w:pPr>
        <w:spacing w:after="120" w:line="276" w:lineRule="auto"/>
        <w:rPr>
          <w:rFonts w:cs="TisaSansPro"/>
          <w:color w:val="auto"/>
          <w:sz w:val="23"/>
          <w:szCs w:val="23"/>
        </w:rPr>
      </w:pPr>
      <w:r w:rsidRPr="0037379A">
        <w:rPr>
          <w:rFonts w:cs="TisaSansPro"/>
          <w:color w:val="auto"/>
          <w:sz w:val="23"/>
          <w:szCs w:val="23"/>
        </w:rPr>
        <w:t xml:space="preserve">Golding, B. (2009). Older men’s lifelong learning: Common threads/sheds. In J. Field, J. Gallacher in R. Ingram (Eds.), </w:t>
      </w:r>
      <w:r w:rsidRPr="0037379A">
        <w:rPr>
          <w:rFonts w:cs="TisaSansPro"/>
          <w:i/>
          <w:color w:val="auto"/>
          <w:sz w:val="23"/>
          <w:szCs w:val="23"/>
        </w:rPr>
        <w:t>Researching transitions in lifelong learning</w:t>
      </w:r>
      <w:r w:rsidRPr="0037379A">
        <w:rPr>
          <w:rFonts w:cs="TisaSansPro"/>
          <w:color w:val="auto"/>
          <w:sz w:val="23"/>
          <w:szCs w:val="23"/>
        </w:rPr>
        <w:t xml:space="preserve"> (str. 65-75). London: Routledge.</w:t>
      </w:r>
    </w:p>
    <w:p w:rsidR="0037379A" w:rsidRPr="0037379A" w:rsidRDefault="0037379A" w:rsidP="0037379A">
      <w:pPr>
        <w:spacing w:after="120" w:line="276" w:lineRule="auto"/>
        <w:rPr>
          <w:rFonts w:cs="TisaSansPro"/>
          <w:color w:val="auto"/>
          <w:sz w:val="23"/>
          <w:szCs w:val="23"/>
        </w:rPr>
      </w:pPr>
      <w:r w:rsidRPr="0037379A">
        <w:rPr>
          <w:rFonts w:cs="TisaSansPro"/>
          <w:color w:val="auto"/>
          <w:sz w:val="23"/>
          <w:szCs w:val="23"/>
        </w:rPr>
        <w:t xml:space="preserve">Golding, B. (2010). The big picture on men’s (and boy’s) learning. </w:t>
      </w:r>
      <w:r w:rsidRPr="0037379A">
        <w:rPr>
          <w:rFonts w:cs="TisaSansPro"/>
          <w:i/>
          <w:color w:val="auto"/>
          <w:sz w:val="23"/>
          <w:szCs w:val="23"/>
        </w:rPr>
        <w:t>Australian Journal of Adult Learning</w:t>
      </w:r>
      <w:r w:rsidRPr="0037379A">
        <w:rPr>
          <w:rFonts w:cs="TisaSansPro"/>
          <w:color w:val="auto"/>
          <w:sz w:val="23"/>
          <w:szCs w:val="23"/>
        </w:rPr>
        <w:t>, 50(1), 54–74.</w:t>
      </w:r>
    </w:p>
    <w:p w:rsidR="0037379A" w:rsidRPr="0037379A" w:rsidRDefault="0037379A" w:rsidP="0037379A">
      <w:pPr>
        <w:spacing w:after="120" w:line="276" w:lineRule="auto"/>
        <w:rPr>
          <w:rFonts w:cs="TisaSansPro"/>
          <w:color w:val="auto"/>
          <w:sz w:val="23"/>
          <w:szCs w:val="23"/>
        </w:rPr>
      </w:pPr>
      <w:r w:rsidRPr="0037379A">
        <w:rPr>
          <w:rFonts w:cs="TisaSansPro"/>
          <w:color w:val="auto"/>
          <w:sz w:val="23"/>
          <w:szCs w:val="23"/>
        </w:rPr>
        <w:t xml:space="preserve">Golding, B. (2011a). Older men‘s wellbeing through community participation in Australia. </w:t>
      </w:r>
      <w:r w:rsidRPr="0037379A">
        <w:rPr>
          <w:rFonts w:cs="TisaSansPro"/>
          <w:i/>
          <w:color w:val="auto"/>
          <w:sz w:val="23"/>
          <w:szCs w:val="23"/>
        </w:rPr>
        <w:t>International Journal of Men‘s Health</w:t>
      </w:r>
      <w:r w:rsidRPr="0037379A">
        <w:rPr>
          <w:rFonts w:cs="TisaSansPro"/>
          <w:color w:val="auto"/>
          <w:sz w:val="23"/>
          <w:szCs w:val="23"/>
        </w:rPr>
        <w:t>, 10(1), 26–44.</w:t>
      </w:r>
    </w:p>
    <w:p w:rsidR="0037379A" w:rsidRPr="0037379A" w:rsidRDefault="0037379A" w:rsidP="0037379A">
      <w:pPr>
        <w:spacing w:after="120" w:line="276" w:lineRule="auto"/>
        <w:rPr>
          <w:rFonts w:cs="TisaSansPro"/>
          <w:color w:val="auto"/>
          <w:sz w:val="23"/>
          <w:szCs w:val="23"/>
        </w:rPr>
      </w:pPr>
      <w:r w:rsidRPr="0037379A">
        <w:rPr>
          <w:rFonts w:cs="TisaSansPro"/>
          <w:color w:val="auto"/>
          <w:sz w:val="23"/>
          <w:szCs w:val="23"/>
        </w:rPr>
        <w:t>Golding, B. (2011b). Taking charge at any age: Learning and wellbeing by older men through community organisations in Australia. A</w:t>
      </w:r>
      <w:r w:rsidRPr="0037379A">
        <w:rPr>
          <w:rFonts w:cs="TisaSansPro"/>
          <w:i/>
          <w:color w:val="auto"/>
          <w:sz w:val="23"/>
          <w:szCs w:val="23"/>
        </w:rPr>
        <w:t>dult Learner 2011: The Irish Journal of Adult and Community Education</w:t>
      </w:r>
      <w:r w:rsidRPr="0037379A">
        <w:rPr>
          <w:rFonts w:cs="TisaSansPro"/>
          <w:color w:val="auto"/>
          <w:sz w:val="23"/>
          <w:szCs w:val="23"/>
        </w:rPr>
        <w:t>, 26–40.</w:t>
      </w:r>
    </w:p>
    <w:p w:rsidR="0037379A" w:rsidRPr="0037379A" w:rsidRDefault="0037379A" w:rsidP="0037379A">
      <w:pPr>
        <w:spacing w:after="120" w:line="276" w:lineRule="auto"/>
        <w:rPr>
          <w:rFonts w:cs="TisaSansPro"/>
          <w:color w:val="auto"/>
          <w:sz w:val="23"/>
          <w:szCs w:val="23"/>
        </w:rPr>
      </w:pPr>
      <w:r w:rsidRPr="0037379A">
        <w:rPr>
          <w:rFonts w:cs="TisaSansPro"/>
          <w:color w:val="auto"/>
          <w:sz w:val="23"/>
          <w:szCs w:val="23"/>
        </w:rPr>
        <w:t>Golding, B., Brown, M., Foley, A., in J. Harvey (2009). Men’s learning and wellbeing through community organisations in Western Australia. Report to Western Australia Department of Education and Training. Ballarat: University of Ballarat.</w:t>
      </w:r>
    </w:p>
    <w:p w:rsidR="0037379A" w:rsidRPr="0037379A" w:rsidRDefault="0037379A" w:rsidP="0037379A">
      <w:pPr>
        <w:shd w:val="clear" w:color="auto" w:fill="FFFFFF" w:themeFill="background1"/>
        <w:spacing w:after="120" w:line="276" w:lineRule="auto"/>
        <w:jc w:val="both"/>
        <w:rPr>
          <w:rFonts w:cs="Times New Roman"/>
          <w:color w:val="auto"/>
          <w:sz w:val="23"/>
          <w:szCs w:val="23"/>
        </w:rPr>
      </w:pPr>
      <w:r w:rsidRPr="0037379A">
        <w:rPr>
          <w:rFonts w:cs="Times New Roman"/>
          <w:color w:val="auto"/>
          <w:sz w:val="23"/>
          <w:szCs w:val="23"/>
        </w:rPr>
        <w:t xml:space="preserve">Gregorčič, M. (et al.) (2011). </w:t>
      </w:r>
      <w:r w:rsidRPr="0037379A">
        <w:rPr>
          <w:rFonts w:cs="Times New Roman"/>
          <w:i/>
          <w:color w:val="auto"/>
          <w:sz w:val="23"/>
          <w:szCs w:val="23"/>
        </w:rPr>
        <w:t xml:space="preserve">Kam po krizi? </w:t>
      </w:r>
      <w:r w:rsidRPr="0037379A">
        <w:rPr>
          <w:rFonts w:cs="Times New Roman"/>
          <w:color w:val="auto"/>
          <w:sz w:val="23"/>
          <w:szCs w:val="23"/>
        </w:rPr>
        <w:t>Ljubljana: Kabinet predsednika Vlade RS : Inštitut za civilizacijo in kulturo.</w:t>
      </w:r>
    </w:p>
    <w:p w:rsidR="0037379A" w:rsidRPr="0037379A" w:rsidRDefault="0037379A" w:rsidP="0037379A">
      <w:pPr>
        <w:shd w:val="clear" w:color="auto" w:fill="FFFFFF" w:themeFill="background1"/>
        <w:spacing w:after="120" w:line="276" w:lineRule="auto"/>
        <w:jc w:val="both"/>
        <w:rPr>
          <w:rFonts w:cs="Times New Roman"/>
          <w:color w:val="auto"/>
          <w:sz w:val="23"/>
          <w:szCs w:val="23"/>
        </w:rPr>
      </w:pPr>
      <w:r w:rsidRPr="0037379A">
        <w:rPr>
          <w:rFonts w:cs="Times New Roman"/>
          <w:color w:val="auto"/>
          <w:sz w:val="23"/>
          <w:szCs w:val="23"/>
        </w:rPr>
        <w:t xml:space="preserve">Gregorčič, M., in H. Hanžek (ur.) (2001). </w:t>
      </w:r>
      <w:r w:rsidRPr="0037379A">
        <w:rPr>
          <w:rFonts w:cs="Times New Roman"/>
          <w:i/>
          <w:color w:val="auto"/>
          <w:sz w:val="23"/>
          <w:szCs w:val="23"/>
        </w:rPr>
        <w:t xml:space="preserve">Human Development Report: Slovenia 2000-2001. </w:t>
      </w:r>
      <w:r w:rsidRPr="0037379A">
        <w:rPr>
          <w:rFonts w:cs="Times New Roman"/>
          <w:color w:val="auto"/>
          <w:sz w:val="23"/>
          <w:szCs w:val="23"/>
        </w:rPr>
        <w:t>Ljubljana: UMAR.</w:t>
      </w:r>
    </w:p>
    <w:p w:rsidR="0037379A" w:rsidRPr="0037379A" w:rsidRDefault="0037379A" w:rsidP="0037379A">
      <w:pPr>
        <w:shd w:val="clear" w:color="auto" w:fill="FFFFFF" w:themeFill="background1"/>
        <w:spacing w:after="120" w:line="276" w:lineRule="auto"/>
        <w:jc w:val="both"/>
        <w:rPr>
          <w:rFonts w:cs="Times New Roman"/>
          <w:color w:val="auto"/>
          <w:sz w:val="23"/>
          <w:szCs w:val="23"/>
        </w:rPr>
      </w:pPr>
      <w:r w:rsidRPr="0037379A">
        <w:rPr>
          <w:rFonts w:cs="Times New Roman"/>
          <w:color w:val="auto"/>
          <w:sz w:val="23"/>
          <w:szCs w:val="23"/>
        </w:rPr>
        <w:t xml:space="preserve">Gregorčič, M. (2017). Participacija starejših odraslih v praksah skupnosti in v skupnosti prakse. </w:t>
      </w:r>
      <w:r w:rsidRPr="0037379A">
        <w:rPr>
          <w:rFonts w:cs="Times New Roman"/>
          <w:i/>
          <w:color w:val="auto"/>
          <w:sz w:val="23"/>
          <w:szCs w:val="23"/>
        </w:rPr>
        <w:t>Andragoška spoznanja</w:t>
      </w:r>
      <w:r w:rsidRPr="0037379A">
        <w:rPr>
          <w:rFonts w:cs="Times New Roman"/>
          <w:color w:val="auto"/>
          <w:sz w:val="23"/>
          <w:szCs w:val="23"/>
        </w:rPr>
        <w:t>, 23(3): 35</w:t>
      </w:r>
      <w:r w:rsidRPr="0037379A">
        <w:rPr>
          <w:rFonts w:cs="TisaSansPro"/>
          <w:color w:val="auto"/>
          <w:sz w:val="23"/>
          <w:szCs w:val="23"/>
        </w:rPr>
        <w:t>–</w:t>
      </w:r>
      <w:r w:rsidRPr="0037379A">
        <w:rPr>
          <w:rFonts w:cs="Times New Roman"/>
          <w:color w:val="auto"/>
          <w:sz w:val="23"/>
          <w:szCs w:val="23"/>
        </w:rPr>
        <w:t>53.</w:t>
      </w:r>
    </w:p>
    <w:p w:rsidR="0037379A" w:rsidRPr="0037379A" w:rsidRDefault="0037379A" w:rsidP="0037379A">
      <w:pPr>
        <w:shd w:val="clear" w:color="auto" w:fill="FFFFFF" w:themeFill="background1"/>
        <w:spacing w:after="120" w:line="276" w:lineRule="auto"/>
        <w:jc w:val="both"/>
        <w:rPr>
          <w:rFonts w:cs="Times New Roman"/>
          <w:color w:val="auto"/>
          <w:sz w:val="23"/>
          <w:szCs w:val="23"/>
        </w:rPr>
      </w:pPr>
      <w:r w:rsidRPr="0037379A">
        <w:rPr>
          <w:rFonts w:cs="Times New Roman"/>
          <w:color w:val="auto"/>
          <w:sz w:val="23"/>
          <w:szCs w:val="23"/>
        </w:rPr>
        <w:t xml:space="preserve">Gregorčič, M., in S. Jelenc Krašovec (2017). Pedagogical dimensions of participatory democracy: Learning through self-organized communities and participatory budgeting in Maribor, Slovenia. V: G. A. Koulaouzides in K. Popović (ur.), </w:t>
      </w:r>
      <w:r w:rsidRPr="0037379A">
        <w:rPr>
          <w:rFonts w:cs="Times New Roman"/>
          <w:i/>
          <w:color w:val="auto"/>
          <w:sz w:val="23"/>
          <w:szCs w:val="23"/>
        </w:rPr>
        <w:t>Adult Education and Lifelong Learning in Southern Europe. A Critical View on Policy and Practice</w:t>
      </w:r>
      <w:r w:rsidRPr="0037379A">
        <w:rPr>
          <w:rFonts w:cs="Times New Roman"/>
          <w:color w:val="auto"/>
          <w:sz w:val="23"/>
          <w:szCs w:val="23"/>
        </w:rPr>
        <w:t xml:space="preserve"> (str. 27–39). Rotterdam/Boston/Taipei, Sense Publisher.</w:t>
      </w:r>
    </w:p>
    <w:p w:rsidR="0037379A" w:rsidRPr="0037379A" w:rsidRDefault="0037379A" w:rsidP="0037379A">
      <w:pPr>
        <w:shd w:val="clear" w:color="auto" w:fill="FFFFFF" w:themeFill="background1"/>
        <w:spacing w:after="120" w:line="276" w:lineRule="auto"/>
        <w:jc w:val="both"/>
        <w:rPr>
          <w:rFonts w:cs="Times New Roman"/>
          <w:color w:val="auto"/>
          <w:sz w:val="23"/>
          <w:szCs w:val="23"/>
        </w:rPr>
      </w:pPr>
      <w:r w:rsidRPr="0037379A">
        <w:rPr>
          <w:rFonts w:cs="Times New Roman"/>
          <w:color w:val="auto"/>
          <w:sz w:val="23"/>
          <w:szCs w:val="23"/>
        </w:rPr>
        <w:t xml:space="preserve">Hlebec, V., J. Mali in M. Filipovič Hrast (2014): Community care for older people in Slovenia. </w:t>
      </w:r>
      <w:r w:rsidRPr="0037379A">
        <w:rPr>
          <w:rFonts w:cs="Times New Roman"/>
          <w:i/>
          <w:color w:val="auto"/>
          <w:sz w:val="23"/>
          <w:szCs w:val="23"/>
        </w:rPr>
        <w:t>Anthropological Notebooks</w:t>
      </w:r>
      <w:r w:rsidRPr="0037379A">
        <w:rPr>
          <w:rFonts w:cs="Times New Roman"/>
          <w:color w:val="auto"/>
          <w:sz w:val="23"/>
          <w:szCs w:val="23"/>
        </w:rPr>
        <w:t>, 20(1), 5–20.</w:t>
      </w:r>
    </w:p>
    <w:p w:rsidR="0037379A" w:rsidRPr="0037379A" w:rsidRDefault="0037379A" w:rsidP="0037379A">
      <w:pPr>
        <w:spacing w:after="120" w:line="276" w:lineRule="auto"/>
        <w:rPr>
          <w:rFonts w:eastAsia="Times New Roman" w:cs="Arial"/>
          <w:color w:val="auto"/>
          <w:sz w:val="23"/>
          <w:szCs w:val="23"/>
          <w:lang w:eastAsia="sl-SI"/>
        </w:rPr>
      </w:pPr>
      <w:r w:rsidRPr="0037379A">
        <w:rPr>
          <w:rFonts w:eastAsia="Times New Roman" w:cs="Times New Roman"/>
          <w:color w:val="auto"/>
          <w:sz w:val="23"/>
          <w:szCs w:val="23"/>
          <w:lang w:eastAsia="sl-SI"/>
        </w:rPr>
        <w:t xml:space="preserve">UMAR (2016). </w:t>
      </w:r>
      <w:r w:rsidRPr="0037379A">
        <w:rPr>
          <w:rFonts w:eastAsia="Times New Roman" w:cs="Times New Roman"/>
          <w:i/>
          <w:color w:val="auto"/>
          <w:sz w:val="23"/>
          <w:szCs w:val="23"/>
          <w:lang w:eastAsia="sl-SI"/>
        </w:rPr>
        <w:t>Demographi</w:t>
      </w:r>
      <w:r w:rsidRPr="0037379A">
        <w:rPr>
          <w:rFonts w:eastAsia="Times New Roman" w:cs="Arial"/>
          <w:i/>
          <w:color w:val="auto"/>
          <w:sz w:val="23"/>
          <w:szCs w:val="23"/>
          <w:lang w:eastAsia="sl-SI"/>
        </w:rPr>
        <w:t>c change and its economic and social consequences.</w:t>
      </w:r>
      <w:r w:rsidRPr="0037379A">
        <w:rPr>
          <w:rFonts w:eastAsia="Times New Roman" w:cs="Arial"/>
          <w:color w:val="auto"/>
          <w:sz w:val="23"/>
          <w:szCs w:val="23"/>
          <w:lang w:eastAsia="sl-SI"/>
        </w:rPr>
        <w:t xml:space="preserve"> Ljubljana: IMAR. </w:t>
      </w:r>
      <w:r w:rsidRPr="0037379A">
        <w:rPr>
          <w:rFonts w:eastAsia="Times New Roman" w:cs="Arial"/>
          <w:color w:val="auto"/>
          <w:sz w:val="23"/>
          <w:szCs w:val="23"/>
          <w:lang w:val="it-IT" w:eastAsia="sl-SI"/>
        </w:rPr>
        <w:t>Dostopno na:</w:t>
      </w:r>
      <w:r w:rsidRPr="0037379A">
        <w:rPr>
          <w:rFonts w:eastAsia="Times New Roman" w:cs="Arial"/>
          <w:color w:val="auto"/>
          <w:sz w:val="23"/>
          <w:szCs w:val="23"/>
          <w:lang w:eastAsia="sl-SI"/>
        </w:rPr>
        <w:t xml:space="preserve"> http://www.umar.gov.si/fileadmin/user_upload/publikacije/kratke_analize/Demographic_change_IMAD_May_2016.pdf</w:t>
      </w:r>
    </w:p>
    <w:p w:rsidR="0037379A" w:rsidRPr="0037379A" w:rsidRDefault="0037379A" w:rsidP="0037379A">
      <w:pPr>
        <w:spacing w:after="120" w:line="276" w:lineRule="auto"/>
        <w:rPr>
          <w:rFonts w:cs="TisaSansPro"/>
          <w:color w:val="auto"/>
          <w:sz w:val="23"/>
          <w:szCs w:val="23"/>
        </w:rPr>
      </w:pPr>
      <w:r w:rsidRPr="0037379A">
        <w:rPr>
          <w:rFonts w:cs="TisaSansPro"/>
          <w:color w:val="auto"/>
          <w:sz w:val="23"/>
          <w:szCs w:val="23"/>
        </w:rPr>
        <w:t xml:space="preserve">UMAR (2018). </w:t>
      </w:r>
      <w:r w:rsidRPr="0037379A">
        <w:rPr>
          <w:rFonts w:cs="TisaSansPro"/>
          <w:i/>
          <w:color w:val="auto"/>
          <w:sz w:val="23"/>
          <w:szCs w:val="23"/>
        </w:rPr>
        <w:t>Active Ageing Strategy</w:t>
      </w:r>
      <w:r w:rsidRPr="0037379A">
        <w:rPr>
          <w:rFonts w:cs="TisaSansPro"/>
          <w:color w:val="auto"/>
          <w:sz w:val="23"/>
          <w:szCs w:val="23"/>
        </w:rPr>
        <w:t>. Ljubljana: Institute of Macroeconomic Analysis and Development of the Republic of Slovenia, Ministry of Labour, Family, Social Affairs and Equal Opportunities.</w:t>
      </w:r>
    </w:p>
    <w:p w:rsidR="0037379A" w:rsidRPr="0037379A" w:rsidRDefault="0037379A" w:rsidP="0037379A">
      <w:pPr>
        <w:shd w:val="clear" w:color="auto" w:fill="FFFFFF" w:themeFill="background1"/>
        <w:spacing w:after="120" w:line="276" w:lineRule="auto"/>
        <w:jc w:val="both"/>
        <w:rPr>
          <w:rFonts w:cs="Times New Roman"/>
          <w:color w:val="auto"/>
          <w:sz w:val="23"/>
          <w:szCs w:val="23"/>
        </w:rPr>
      </w:pPr>
      <w:r w:rsidRPr="0037379A">
        <w:rPr>
          <w:rFonts w:cs="Times New Roman"/>
          <w:color w:val="auto"/>
          <w:sz w:val="23"/>
          <w:szCs w:val="23"/>
        </w:rPr>
        <w:lastRenderedPageBreak/>
        <w:t xml:space="preserve">ISCED (2014). </w:t>
      </w:r>
      <w:r w:rsidRPr="0037379A">
        <w:rPr>
          <w:rFonts w:cs="Times New Roman"/>
          <w:i/>
          <w:color w:val="auto"/>
          <w:sz w:val="23"/>
          <w:szCs w:val="23"/>
        </w:rPr>
        <w:t>The Structure of the European Education Systems 2014/15: Schematic Diagrams</w:t>
      </w:r>
      <w:r w:rsidRPr="0037379A">
        <w:rPr>
          <w:rFonts w:cs="Times New Roman"/>
          <w:color w:val="auto"/>
          <w:sz w:val="23"/>
          <w:szCs w:val="23"/>
        </w:rPr>
        <w:t xml:space="preserve"> (International Standard Classification of Education). Available at: </w:t>
      </w:r>
      <w:hyperlink r:id="rId12" w:history="1">
        <w:r w:rsidRPr="0037379A">
          <w:rPr>
            <w:rStyle w:val="Hyperlink"/>
            <w:rFonts w:cs="Times New Roman"/>
            <w:color w:val="auto"/>
            <w:sz w:val="23"/>
            <w:szCs w:val="23"/>
          </w:rPr>
          <w:t>http://eacea.ec.europa.eu/education/eurydice/documents/facts_and_figures/education_structures_EN.pdf</w:t>
        </w:r>
      </w:hyperlink>
    </w:p>
    <w:p w:rsidR="0037379A" w:rsidRPr="0037379A" w:rsidRDefault="0037379A" w:rsidP="0037379A">
      <w:pPr>
        <w:shd w:val="clear" w:color="auto" w:fill="FFFFFF" w:themeFill="background1"/>
        <w:spacing w:after="120" w:line="276" w:lineRule="auto"/>
        <w:jc w:val="both"/>
        <w:rPr>
          <w:rFonts w:eastAsia="Times New Roman" w:cs="Times New Roman"/>
          <w:color w:val="auto"/>
          <w:sz w:val="23"/>
          <w:szCs w:val="23"/>
          <w:lang w:eastAsia="sl-SI"/>
        </w:rPr>
      </w:pPr>
      <w:r w:rsidRPr="0037379A">
        <w:rPr>
          <w:rFonts w:eastAsia="Times New Roman" w:cs="Times New Roman"/>
          <w:color w:val="auto"/>
          <w:sz w:val="23"/>
          <w:szCs w:val="23"/>
          <w:lang w:eastAsia="sl-SI"/>
        </w:rPr>
        <w:t xml:space="preserve">Jelenc Krašovec, S., in M. Radovan (ur.) (2014). </w:t>
      </w:r>
      <w:r w:rsidRPr="0037379A">
        <w:rPr>
          <w:rFonts w:eastAsia="Times New Roman" w:cs="Times New Roman"/>
          <w:i/>
          <w:color w:val="auto"/>
          <w:sz w:val="23"/>
          <w:szCs w:val="23"/>
          <w:lang w:eastAsia="sl-SI"/>
        </w:rPr>
        <w:t>Older men learning in the community: European snapshots</w:t>
      </w:r>
      <w:r w:rsidRPr="0037379A">
        <w:rPr>
          <w:rFonts w:eastAsia="Times New Roman" w:cs="Times New Roman"/>
          <w:color w:val="auto"/>
          <w:sz w:val="23"/>
          <w:szCs w:val="23"/>
          <w:lang w:eastAsia="sl-SI"/>
        </w:rPr>
        <w:t xml:space="preserve">. Ljubljana, Slovenija: Znanstvena založba Filozofske fakultete Univerze v Ljubljani. </w:t>
      </w:r>
    </w:p>
    <w:p w:rsidR="0037379A" w:rsidRPr="0037379A" w:rsidRDefault="0037379A" w:rsidP="0037379A">
      <w:pPr>
        <w:shd w:val="clear" w:color="auto" w:fill="FFFFFF" w:themeFill="background1"/>
        <w:spacing w:after="120" w:line="276" w:lineRule="auto"/>
        <w:jc w:val="both"/>
        <w:rPr>
          <w:rFonts w:eastAsia="Times New Roman" w:cs="Times New Roman"/>
          <w:color w:val="auto"/>
          <w:sz w:val="23"/>
          <w:szCs w:val="23"/>
          <w:lang w:eastAsia="sl-SI"/>
        </w:rPr>
      </w:pPr>
      <w:r w:rsidRPr="0037379A">
        <w:rPr>
          <w:rFonts w:eastAsia="Times New Roman" w:cs="Times New Roman"/>
          <w:color w:val="auto"/>
          <w:sz w:val="23"/>
          <w:szCs w:val="23"/>
          <w:lang w:eastAsia="sl-SI"/>
        </w:rPr>
        <w:t xml:space="preserve">Jelenc Krašovec, S., Š. Močilnikar, in M. Radovan (2016). Learning of Older Men in Voluntary Associations. </w:t>
      </w:r>
      <w:r w:rsidRPr="0037379A">
        <w:rPr>
          <w:rFonts w:eastAsia="Times New Roman" w:cs="Times New Roman"/>
          <w:i/>
          <w:color w:val="auto"/>
          <w:sz w:val="23"/>
          <w:szCs w:val="23"/>
          <w:lang w:eastAsia="sl-SI"/>
        </w:rPr>
        <w:t>International Scientific Researches Journal</w:t>
      </w:r>
      <w:r w:rsidRPr="0037379A">
        <w:rPr>
          <w:rFonts w:eastAsia="Times New Roman" w:cs="Times New Roman"/>
          <w:color w:val="auto"/>
          <w:sz w:val="23"/>
          <w:szCs w:val="23"/>
          <w:lang w:eastAsia="sl-SI"/>
        </w:rPr>
        <w:t>, 72(9), 39</w:t>
      </w:r>
      <w:r w:rsidRPr="0037379A">
        <w:rPr>
          <w:rFonts w:cs="TisaSansPro"/>
          <w:color w:val="auto"/>
          <w:sz w:val="23"/>
          <w:szCs w:val="23"/>
        </w:rPr>
        <w:t>–</w:t>
      </w:r>
      <w:r w:rsidRPr="0037379A">
        <w:rPr>
          <w:rFonts w:eastAsia="Times New Roman" w:cs="Times New Roman"/>
          <w:color w:val="auto"/>
          <w:sz w:val="23"/>
          <w:szCs w:val="23"/>
          <w:lang w:eastAsia="sl-SI"/>
        </w:rPr>
        <w:t>51.</w:t>
      </w:r>
    </w:p>
    <w:p w:rsidR="0037379A" w:rsidRPr="0037379A" w:rsidRDefault="0037379A" w:rsidP="0037379A">
      <w:pPr>
        <w:spacing w:after="120" w:line="276" w:lineRule="auto"/>
        <w:rPr>
          <w:rFonts w:cs="TisaSansPro"/>
          <w:color w:val="auto"/>
          <w:sz w:val="23"/>
          <w:szCs w:val="23"/>
        </w:rPr>
      </w:pPr>
      <w:r w:rsidRPr="0037379A">
        <w:rPr>
          <w:rFonts w:cs="TisaSansPro"/>
          <w:color w:val="auto"/>
          <w:sz w:val="23"/>
          <w:szCs w:val="23"/>
        </w:rPr>
        <w:t xml:space="preserve">Jelenc, Z. (ur.) (2007). </w:t>
      </w:r>
      <w:r w:rsidRPr="0037379A">
        <w:rPr>
          <w:rFonts w:cs="TisaSansPro"/>
          <w:i/>
          <w:color w:val="auto"/>
          <w:sz w:val="23"/>
          <w:szCs w:val="23"/>
        </w:rPr>
        <w:t>Lifelong Learning Strategy in Slovenia</w:t>
      </w:r>
      <w:r w:rsidRPr="0037379A">
        <w:rPr>
          <w:rFonts w:cs="TisaSansPro"/>
          <w:color w:val="auto"/>
          <w:sz w:val="23"/>
          <w:szCs w:val="23"/>
        </w:rPr>
        <w:t>. Ljubljana:</w:t>
      </w:r>
      <w:r w:rsidRPr="0037379A">
        <w:rPr>
          <w:color w:val="auto"/>
          <w:sz w:val="23"/>
          <w:szCs w:val="23"/>
        </w:rPr>
        <w:t xml:space="preserve"> </w:t>
      </w:r>
      <w:r w:rsidRPr="0037379A">
        <w:rPr>
          <w:rFonts w:cs="TisaSansPro"/>
          <w:color w:val="auto"/>
          <w:sz w:val="23"/>
          <w:szCs w:val="23"/>
        </w:rPr>
        <w:t xml:space="preserve">Ministry of Education and Sport of the Republic of Slovenia: Public Institute Educational Research Institute.  </w:t>
      </w:r>
    </w:p>
    <w:p w:rsidR="0037379A" w:rsidRPr="0037379A" w:rsidRDefault="0037379A" w:rsidP="0037379A">
      <w:pPr>
        <w:spacing w:after="120" w:line="276" w:lineRule="auto"/>
        <w:rPr>
          <w:rFonts w:cs="TisaSansPro"/>
          <w:color w:val="auto"/>
          <w:sz w:val="23"/>
          <w:szCs w:val="23"/>
        </w:rPr>
      </w:pPr>
      <w:r w:rsidRPr="0037379A">
        <w:rPr>
          <w:rFonts w:cs="TisaSansPro"/>
          <w:color w:val="auto"/>
          <w:sz w:val="23"/>
          <w:szCs w:val="23"/>
        </w:rPr>
        <w:t xml:space="preserve">Kolarič, Z. (1992). From Socialist to Post-Socialist Social Policy. In I. Svetnik (ed.), </w:t>
      </w:r>
      <w:r w:rsidRPr="0037379A">
        <w:rPr>
          <w:rFonts w:cs="TisaSansPro"/>
          <w:i/>
          <w:color w:val="auto"/>
          <w:sz w:val="23"/>
          <w:szCs w:val="23"/>
        </w:rPr>
        <w:t>Social Policy in Slovenia</w:t>
      </w:r>
      <w:r w:rsidRPr="0037379A">
        <w:rPr>
          <w:rFonts w:cs="TisaSansPro"/>
          <w:color w:val="auto"/>
          <w:sz w:val="23"/>
          <w:szCs w:val="23"/>
        </w:rPr>
        <w:t xml:space="preserve"> (pp. 15–32). Avebury: Ashgate. </w:t>
      </w:r>
    </w:p>
    <w:p w:rsidR="0037379A" w:rsidRPr="0037379A" w:rsidRDefault="0037379A" w:rsidP="0037379A">
      <w:pPr>
        <w:spacing w:after="120" w:line="276" w:lineRule="auto"/>
        <w:rPr>
          <w:rFonts w:cs="TisaSansPro"/>
          <w:color w:val="auto"/>
          <w:sz w:val="23"/>
          <w:szCs w:val="23"/>
        </w:rPr>
      </w:pPr>
      <w:r w:rsidRPr="0037379A">
        <w:rPr>
          <w:rFonts w:cs="TisaSansPro"/>
          <w:color w:val="auto"/>
          <w:sz w:val="23"/>
          <w:szCs w:val="23"/>
        </w:rPr>
        <w:t xml:space="preserve">Kolarič, Z., A. Kopač, in T. Rakar (2009). The Slovene Welfare System: Gradual Reform instead of Shock Treatment. V: K. Schubert, S. Hegelich in U. Bazant (ur.) </w:t>
      </w:r>
      <w:r w:rsidRPr="0037379A">
        <w:rPr>
          <w:rFonts w:cs="TisaSansPro"/>
          <w:i/>
          <w:color w:val="auto"/>
          <w:sz w:val="23"/>
          <w:szCs w:val="23"/>
        </w:rPr>
        <w:t xml:space="preserve">The Handbook of European Welfare Systems </w:t>
      </w:r>
      <w:r w:rsidRPr="0037379A">
        <w:rPr>
          <w:rFonts w:cs="TisaSansPro"/>
          <w:color w:val="auto"/>
          <w:sz w:val="23"/>
          <w:szCs w:val="23"/>
        </w:rPr>
        <w:t>(str. 444–461). London and New York: Routledge.</w:t>
      </w:r>
    </w:p>
    <w:p w:rsidR="0037379A" w:rsidRPr="0037379A" w:rsidRDefault="0037379A" w:rsidP="0037379A">
      <w:pPr>
        <w:spacing w:after="120" w:line="276" w:lineRule="auto"/>
        <w:rPr>
          <w:rFonts w:cs="TisaSansPro"/>
          <w:color w:val="auto"/>
          <w:sz w:val="23"/>
          <w:szCs w:val="23"/>
        </w:rPr>
      </w:pPr>
      <w:r w:rsidRPr="0037379A">
        <w:rPr>
          <w:rFonts w:cs="TisaSansPro"/>
          <w:color w:val="auto"/>
          <w:sz w:val="23"/>
          <w:szCs w:val="23"/>
        </w:rPr>
        <w:t xml:space="preserve">Kopač, A. (2005). Od brezpogojne k pogojevani državi blaginje—spremembe znotraj koncepta državljanstva. </w:t>
      </w:r>
      <w:r w:rsidRPr="0037379A">
        <w:rPr>
          <w:rFonts w:cs="TisaSansPro"/>
          <w:i/>
          <w:color w:val="auto"/>
          <w:sz w:val="23"/>
          <w:szCs w:val="23"/>
        </w:rPr>
        <w:t>Družboslovne razprave</w:t>
      </w:r>
      <w:r w:rsidRPr="0037379A">
        <w:rPr>
          <w:rFonts w:cs="TisaSansPro"/>
          <w:color w:val="auto"/>
          <w:sz w:val="23"/>
          <w:szCs w:val="23"/>
        </w:rPr>
        <w:t xml:space="preserve"> 21 (49/50): 51–64.</w:t>
      </w:r>
    </w:p>
    <w:p w:rsidR="0037379A" w:rsidRPr="0037379A" w:rsidRDefault="0037379A" w:rsidP="0037379A">
      <w:pPr>
        <w:shd w:val="clear" w:color="auto" w:fill="FFFFFF" w:themeFill="background1"/>
        <w:spacing w:after="120" w:line="276" w:lineRule="auto"/>
        <w:jc w:val="both"/>
        <w:rPr>
          <w:rFonts w:cs="Times New Roman"/>
          <w:color w:val="auto"/>
          <w:sz w:val="23"/>
          <w:szCs w:val="23"/>
        </w:rPr>
      </w:pPr>
      <w:r w:rsidRPr="0037379A">
        <w:rPr>
          <w:rFonts w:eastAsia="Times New Roman" w:cs="Times New Roman"/>
          <w:color w:val="auto"/>
          <w:sz w:val="23"/>
          <w:szCs w:val="23"/>
          <w:lang w:eastAsia="sl-SI"/>
        </w:rPr>
        <w:t xml:space="preserve">Krajnc, A. (2016). </w:t>
      </w:r>
      <w:r w:rsidRPr="0037379A">
        <w:rPr>
          <w:rFonts w:eastAsia="Times New Roman" w:cs="Times New Roman"/>
          <w:i/>
          <w:color w:val="auto"/>
          <w:sz w:val="23"/>
          <w:szCs w:val="23"/>
          <w:lang w:eastAsia="sl-SI"/>
        </w:rPr>
        <w:t>Starejši se učimo. Izobraževanje starejših v teoriji in praksi.</w:t>
      </w:r>
      <w:r w:rsidRPr="0037379A">
        <w:rPr>
          <w:rFonts w:eastAsia="Times New Roman" w:cs="Times New Roman"/>
          <w:color w:val="auto"/>
          <w:sz w:val="23"/>
          <w:szCs w:val="23"/>
          <w:lang w:eastAsia="sl-SI"/>
        </w:rPr>
        <w:t xml:space="preserve"> Ljubljana: Slovenska univerza za tretje življenjsko obdobje, združevanje za izobraževanje in družbeno vključenost.</w:t>
      </w:r>
      <w:r w:rsidRPr="0037379A">
        <w:rPr>
          <w:rFonts w:cs="Times New Roman"/>
          <w:color w:val="auto"/>
          <w:sz w:val="23"/>
          <w:szCs w:val="23"/>
        </w:rPr>
        <w:t xml:space="preserve"> </w:t>
      </w:r>
    </w:p>
    <w:p w:rsidR="0037379A" w:rsidRPr="0037379A" w:rsidRDefault="0037379A" w:rsidP="0037379A">
      <w:pPr>
        <w:spacing w:after="120" w:line="276" w:lineRule="auto"/>
        <w:rPr>
          <w:rFonts w:eastAsia="Times New Roman" w:cs="Times New Roman"/>
          <w:color w:val="auto"/>
          <w:sz w:val="23"/>
          <w:szCs w:val="23"/>
          <w:lang w:eastAsia="sl-SI"/>
        </w:rPr>
      </w:pPr>
      <w:r w:rsidRPr="0037379A">
        <w:rPr>
          <w:rFonts w:eastAsia="Times New Roman" w:cs="Times New Roman"/>
          <w:color w:val="auto"/>
          <w:sz w:val="23"/>
          <w:szCs w:val="23"/>
          <w:lang w:eastAsia="sl-SI"/>
        </w:rPr>
        <w:t xml:space="preserve">Kump, S. (2017). Konec varčevanja? Javno financiranje izobraževanja odraslih. </w:t>
      </w:r>
      <w:r w:rsidRPr="0037379A">
        <w:rPr>
          <w:rFonts w:eastAsia="Times New Roman" w:cs="Times New Roman"/>
          <w:i/>
          <w:color w:val="auto"/>
          <w:sz w:val="23"/>
          <w:szCs w:val="23"/>
          <w:lang w:eastAsia="sl-SI"/>
        </w:rPr>
        <w:t>Andragoška spoznanja</w:t>
      </w:r>
      <w:r w:rsidRPr="0037379A">
        <w:rPr>
          <w:rFonts w:eastAsia="Times New Roman" w:cs="Times New Roman"/>
          <w:color w:val="auto"/>
          <w:sz w:val="23"/>
          <w:szCs w:val="23"/>
          <w:lang w:eastAsia="sl-SI"/>
        </w:rPr>
        <w:t xml:space="preserve">, 23(1): 3–6. </w:t>
      </w:r>
    </w:p>
    <w:p w:rsidR="0037379A" w:rsidRPr="0037379A" w:rsidRDefault="0037379A" w:rsidP="0037379A">
      <w:pPr>
        <w:spacing w:after="120" w:line="276" w:lineRule="auto"/>
        <w:rPr>
          <w:rFonts w:eastAsia="Times New Roman" w:cs="Times New Roman"/>
          <w:color w:val="auto"/>
          <w:sz w:val="23"/>
          <w:szCs w:val="23"/>
          <w:lang w:eastAsia="sl-SI"/>
        </w:rPr>
      </w:pPr>
      <w:r w:rsidRPr="0037379A">
        <w:rPr>
          <w:rFonts w:eastAsia="Times New Roman" w:cs="Times New Roman"/>
          <w:color w:val="auto"/>
          <w:sz w:val="23"/>
          <w:szCs w:val="23"/>
          <w:lang w:eastAsia="sl-SI"/>
        </w:rPr>
        <w:t xml:space="preserve">Merriam, S. B. in Y. Kee (2014). Promoting community wellbeing: The case of lifelong learning for older adults. </w:t>
      </w:r>
      <w:r w:rsidRPr="0037379A">
        <w:rPr>
          <w:rFonts w:eastAsia="Times New Roman" w:cs="Times New Roman"/>
          <w:i/>
          <w:color w:val="auto"/>
          <w:sz w:val="23"/>
          <w:szCs w:val="23"/>
          <w:lang w:eastAsia="sl-SI"/>
        </w:rPr>
        <w:t>Adult Education Quarterly</w:t>
      </w:r>
      <w:r w:rsidRPr="0037379A">
        <w:rPr>
          <w:rFonts w:eastAsia="Times New Roman" w:cs="Times New Roman"/>
          <w:color w:val="auto"/>
          <w:sz w:val="23"/>
          <w:szCs w:val="23"/>
          <w:lang w:eastAsia="sl-SI"/>
        </w:rPr>
        <w:t>, 64, 128–144.</w:t>
      </w:r>
    </w:p>
    <w:p w:rsidR="0037379A" w:rsidRPr="0037379A" w:rsidRDefault="0037379A" w:rsidP="0037379A">
      <w:pPr>
        <w:spacing w:after="120" w:line="276" w:lineRule="auto"/>
        <w:rPr>
          <w:rFonts w:eastAsia="Times New Roman" w:cs="Arial"/>
          <w:color w:val="auto"/>
          <w:sz w:val="23"/>
          <w:szCs w:val="23"/>
          <w:lang w:eastAsia="sl-SI"/>
        </w:rPr>
      </w:pPr>
      <w:r w:rsidRPr="0037379A">
        <w:rPr>
          <w:rFonts w:eastAsia="Times New Roman" w:cs="Times New Roman"/>
          <w:color w:val="auto"/>
          <w:sz w:val="23"/>
          <w:szCs w:val="23"/>
          <w:lang w:eastAsia="sl-SI"/>
        </w:rPr>
        <w:t>Mikulec, B. in S. Jelenc Krašovec (2016). Marketising Slovene adult education</w:t>
      </w:r>
      <w:r w:rsidRPr="0037379A">
        <w:rPr>
          <w:rFonts w:eastAsia="Times New Roman" w:cs="Arial"/>
          <w:color w:val="auto"/>
          <w:sz w:val="23"/>
          <w:szCs w:val="23"/>
          <w:lang w:eastAsia="sl-SI"/>
        </w:rPr>
        <w:t xml:space="preserve"> policies and practices using mechanisms of the Europeanisation of education. </w:t>
      </w:r>
      <w:r w:rsidRPr="0037379A">
        <w:rPr>
          <w:rFonts w:eastAsia="Times New Roman" w:cs="Arial"/>
          <w:i/>
          <w:color w:val="auto"/>
          <w:sz w:val="23"/>
          <w:szCs w:val="23"/>
          <w:lang w:eastAsia="sl-SI"/>
        </w:rPr>
        <w:t>European Journal for Research on the Education and Learning of Adults</w:t>
      </w:r>
      <w:r w:rsidRPr="0037379A">
        <w:rPr>
          <w:rFonts w:eastAsia="Times New Roman" w:cs="Arial"/>
          <w:color w:val="auto"/>
          <w:sz w:val="23"/>
          <w:szCs w:val="23"/>
          <w:lang w:eastAsia="sl-SI"/>
        </w:rPr>
        <w:t>, 7(2), 151–170.</w:t>
      </w:r>
    </w:p>
    <w:p w:rsidR="0037379A" w:rsidRPr="0037379A" w:rsidRDefault="0037379A" w:rsidP="0037379A">
      <w:pPr>
        <w:spacing w:after="120" w:line="276" w:lineRule="auto"/>
        <w:rPr>
          <w:rFonts w:eastAsia="Times New Roman" w:cs="Arial"/>
          <w:color w:val="auto"/>
          <w:sz w:val="23"/>
          <w:szCs w:val="23"/>
          <w:lang w:eastAsia="sl-SI"/>
        </w:rPr>
      </w:pPr>
      <w:r w:rsidRPr="0037379A">
        <w:rPr>
          <w:rFonts w:eastAsia="Times New Roman" w:cs="Arial"/>
          <w:color w:val="auto"/>
          <w:sz w:val="23"/>
          <w:szCs w:val="23"/>
          <w:lang w:eastAsia="sl-SI"/>
        </w:rPr>
        <w:t xml:space="preserve">Ministrstvo za zdravlje (2007). National Health Enhancing Physical Activity Programme  2007-2012. </w:t>
      </w:r>
      <w:r w:rsidRPr="0037379A">
        <w:rPr>
          <w:rFonts w:eastAsia="Times New Roman" w:cs="Arial"/>
          <w:color w:val="auto"/>
          <w:sz w:val="23"/>
          <w:szCs w:val="23"/>
          <w:lang w:val="it-IT" w:eastAsia="sl-SI"/>
        </w:rPr>
        <w:t>Dostopno na:</w:t>
      </w:r>
      <w:r w:rsidRPr="0037379A">
        <w:rPr>
          <w:rFonts w:eastAsia="Times New Roman" w:cs="Arial"/>
          <w:color w:val="auto"/>
          <w:sz w:val="23"/>
          <w:szCs w:val="23"/>
          <w:lang w:eastAsia="sl-SI"/>
        </w:rPr>
        <w:t xml:space="preserve"> http://www.mz.gov.si/fileadmin/mz.gov.si/pageuploads/angleska_verzija_MZ/HEPA-Slovenia-prevod_ang.pdf</w:t>
      </w:r>
    </w:p>
    <w:p w:rsidR="0037379A" w:rsidRPr="0037379A" w:rsidRDefault="0037379A" w:rsidP="0037379A">
      <w:pPr>
        <w:spacing w:after="120" w:line="276" w:lineRule="auto"/>
        <w:rPr>
          <w:rFonts w:eastAsia="Times New Roman" w:cs="Arial"/>
          <w:color w:val="auto"/>
          <w:sz w:val="23"/>
          <w:szCs w:val="23"/>
          <w:lang w:eastAsia="sl-SI"/>
        </w:rPr>
      </w:pPr>
      <w:r w:rsidRPr="0037379A">
        <w:rPr>
          <w:rFonts w:eastAsia="Times New Roman" w:cs="Arial"/>
          <w:color w:val="auto"/>
          <w:sz w:val="23"/>
          <w:szCs w:val="23"/>
          <w:lang w:eastAsia="sl-SI"/>
        </w:rPr>
        <w:t xml:space="preserve">OECD (2016). </w:t>
      </w:r>
      <w:r w:rsidRPr="0037379A">
        <w:rPr>
          <w:rFonts w:eastAsia="Times New Roman" w:cs="Arial"/>
          <w:i/>
          <w:color w:val="auto"/>
          <w:sz w:val="23"/>
          <w:szCs w:val="23"/>
          <w:lang w:eastAsia="sl-SI"/>
        </w:rPr>
        <w:t>Skills Matter: Further Results from the Survey of Adult Skills. OECD Skills Studies</w:t>
      </w:r>
      <w:r w:rsidRPr="0037379A">
        <w:rPr>
          <w:rFonts w:eastAsia="Times New Roman" w:cs="Arial"/>
          <w:color w:val="auto"/>
          <w:sz w:val="23"/>
          <w:szCs w:val="23"/>
          <w:lang w:eastAsia="sl-SI"/>
        </w:rPr>
        <w:t>. Paris: OECD Publishing.</w:t>
      </w:r>
    </w:p>
    <w:p w:rsidR="0037379A" w:rsidRPr="0037379A" w:rsidRDefault="0037379A" w:rsidP="0037379A">
      <w:pPr>
        <w:spacing w:after="120" w:line="276" w:lineRule="auto"/>
        <w:rPr>
          <w:rStyle w:val="Hyperlink"/>
          <w:rFonts w:eastAsia="Times New Roman" w:cs="Times New Roman"/>
          <w:color w:val="auto"/>
          <w:sz w:val="23"/>
          <w:szCs w:val="23"/>
          <w:lang w:eastAsia="sl-SI"/>
        </w:rPr>
      </w:pPr>
      <w:r w:rsidRPr="0037379A">
        <w:rPr>
          <w:rFonts w:eastAsia="Times New Roman" w:cs="Arial"/>
          <w:color w:val="auto"/>
          <w:sz w:val="23"/>
          <w:szCs w:val="23"/>
          <w:lang w:eastAsia="sl-SI"/>
        </w:rPr>
        <w:t xml:space="preserve">ReNPIO (2014). Resolucija o Nacionalnem  programu  izobraževanja odraslih  v  Republiki  Sloveniji  za  obdobje  2013-2020  (ReNPIO 13-20). Ljubljana: Andragoški center Slovenije, 2014. </w:t>
      </w:r>
      <w:r w:rsidRPr="0037379A">
        <w:rPr>
          <w:rFonts w:eastAsia="Times New Roman" w:cs="Arial"/>
          <w:color w:val="auto"/>
          <w:sz w:val="23"/>
          <w:szCs w:val="23"/>
          <w:lang w:val="it-IT" w:eastAsia="sl-SI"/>
        </w:rPr>
        <w:t>Dostopno na:</w:t>
      </w:r>
      <w:r w:rsidRPr="0037379A">
        <w:rPr>
          <w:rFonts w:eastAsia="Times New Roman" w:cs="Arial"/>
          <w:color w:val="auto"/>
          <w:sz w:val="23"/>
          <w:szCs w:val="23"/>
          <w:lang w:eastAsia="sl-SI"/>
        </w:rPr>
        <w:t xml:space="preserve"> </w:t>
      </w:r>
      <w:hyperlink r:id="rId13" w:history="1">
        <w:r w:rsidRPr="0037379A">
          <w:rPr>
            <w:rStyle w:val="Hyperlink"/>
            <w:rFonts w:eastAsia="Times New Roman" w:cs="Times New Roman"/>
            <w:color w:val="auto"/>
            <w:sz w:val="23"/>
            <w:szCs w:val="23"/>
            <w:lang w:eastAsia="sl-SI"/>
          </w:rPr>
          <w:t>http://arhiv.acs.si/dokumenti/ReNPIO_2013%E2%80%932020.pdf</w:t>
        </w:r>
      </w:hyperlink>
    </w:p>
    <w:p w:rsidR="0037379A" w:rsidRPr="0037379A" w:rsidRDefault="0037379A" w:rsidP="0037379A">
      <w:pPr>
        <w:shd w:val="clear" w:color="auto" w:fill="FFFFFF" w:themeFill="background1"/>
        <w:spacing w:after="120" w:line="276" w:lineRule="auto"/>
        <w:jc w:val="both"/>
        <w:rPr>
          <w:rFonts w:eastAsia="Times New Roman" w:cs="Times New Roman"/>
          <w:color w:val="auto"/>
          <w:sz w:val="23"/>
          <w:szCs w:val="23"/>
          <w:lang w:eastAsia="sl-SI"/>
        </w:rPr>
      </w:pPr>
      <w:r w:rsidRPr="0037379A">
        <w:rPr>
          <w:rFonts w:eastAsia="Times New Roman" w:cs="Times New Roman"/>
          <w:color w:val="auto"/>
          <w:sz w:val="23"/>
          <w:szCs w:val="23"/>
          <w:lang w:eastAsia="sl-SI"/>
        </w:rPr>
        <w:t xml:space="preserve">Rovan, J., K. Malešič in L. Bregar (2009). Well-being of the municipalities in Slovenia. </w:t>
      </w:r>
      <w:r w:rsidRPr="0037379A">
        <w:rPr>
          <w:rFonts w:eastAsia="Times New Roman" w:cs="Times New Roman"/>
          <w:i/>
          <w:color w:val="auto"/>
          <w:sz w:val="23"/>
          <w:szCs w:val="23"/>
          <w:lang w:eastAsia="sl-SI"/>
        </w:rPr>
        <w:t>Geodetski vestnik</w:t>
      </w:r>
      <w:r w:rsidRPr="0037379A">
        <w:rPr>
          <w:rFonts w:eastAsia="Times New Roman" w:cs="Times New Roman"/>
          <w:color w:val="auto"/>
          <w:sz w:val="23"/>
          <w:szCs w:val="23"/>
          <w:lang w:eastAsia="sl-SI"/>
        </w:rPr>
        <w:t>, 53(1), 92–113.</w:t>
      </w:r>
    </w:p>
    <w:p w:rsidR="0037379A" w:rsidRPr="0037379A" w:rsidRDefault="0037379A" w:rsidP="0037379A">
      <w:pPr>
        <w:shd w:val="clear" w:color="auto" w:fill="FFFFFF" w:themeFill="background1"/>
        <w:spacing w:after="120" w:line="276" w:lineRule="auto"/>
        <w:rPr>
          <w:rFonts w:eastAsia="Times New Roman" w:cs="Times New Roman"/>
          <w:iCs/>
          <w:color w:val="auto"/>
          <w:sz w:val="23"/>
          <w:szCs w:val="23"/>
          <w:lang w:eastAsia="sl-SI"/>
        </w:rPr>
      </w:pPr>
      <w:r w:rsidRPr="0037379A">
        <w:rPr>
          <w:rFonts w:eastAsia="Times New Roman" w:cs="Times New Roman"/>
          <w:iCs/>
          <w:color w:val="auto"/>
          <w:sz w:val="23"/>
          <w:szCs w:val="23"/>
          <w:lang w:eastAsia="sl-SI"/>
        </w:rPr>
        <w:t xml:space="preserve">Radovan, M. in S. Jelenc Krašovec (ur.) (2014). </w:t>
      </w:r>
      <w:r w:rsidRPr="0037379A">
        <w:rPr>
          <w:rFonts w:eastAsia="Times New Roman" w:cs="Times New Roman"/>
          <w:i/>
          <w:iCs/>
          <w:color w:val="auto"/>
          <w:sz w:val="23"/>
          <w:szCs w:val="23"/>
          <w:lang w:eastAsia="sl-SI"/>
        </w:rPr>
        <w:t>Older Men Learning in the Community: European Snapshots.</w:t>
      </w:r>
      <w:r w:rsidRPr="0037379A">
        <w:rPr>
          <w:rFonts w:eastAsia="Times New Roman" w:cs="Times New Roman"/>
          <w:iCs/>
          <w:color w:val="auto"/>
          <w:sz w:val="23"/>
          <w:szCs w:val="23"/>
          <w:lang w:eastAsia="sl-SI"/>
        </w:rPr>
        <w:t xml:space="preserve"> Ljubljana: Filozofska fakulteta. </w:t>
      </w:r>
    </w:p>
    <w:p w:rsidR="0037379A" w:rsidRPr="0037379A" w:rsidRDefault="0037379A" w:rsidP="0037379A">
      <w:pPr>
        <w:autoSpaceDE w:val="0"/>
        <w:autoSpaceDN w:val="0"/>
        <w:adjustRightInd w:val="0"/>
        <w:spacing w:after="120" w:line="276" w:lineRule="auto"/>
        <w:rPr>
          <w:rFonts w:cs="TisaPro"/>
          <w:color w:val="auto"/>
          <w:sz w:val="23"/>
          <w:szCs w:val="23"/>
        </w:rPr>
      </w:pPr>
      <w:r w:rsidRPr="0037379A">
        <w:rPr>
          <w:rFonts w:cs="TisaPro-Bold"/>
          <w:bCs/>
          <w:i/>
          <w:color w:val="auto"/>
          <w:sz w:val="23"/>
          <w:szCs w:val="23"/>
        </w:rPr>
        <w:lastRenderedPageBreak/>
        <w:t>Resolucija o nacionalnem planu zdravstvenega varstva 2016–2025</w:t>
      </w:r>
      <w:r w:rsidRPr="0037379A">
        <w:rPr>
          <w:rFonts w:cs="TisaPro-Bold"/>
          <w:bCs/>
          <w:color w:val="auto"/>
          <w:sz w:val="23"/>
          <w:szCs w:val="23"/>
        </w:rPr>
        <w:t xml:space="preserve"> (2016). </w:t>
      </w:r>
      <w:r w:rsidRPr="0037379A">
        <w:rPr>
          <w:rFonts w:cs="TisaPro-Bold"/>
          <w:bCs/>
          <w:i/>
          <w:color w:val="auto"/>
          <w:sz w:val="23"/>
          <w:szCs w:val="23"/>
        </w:rPr>
        <w:t>Skupaj za družbo zdravja</w:t>
      </w:r>
      <w:r w:rsidRPr="0037379A">
        <w:rPr>
          <w:rFonts w:cs="TisaPro-Bold"/>
          <w:bCs/>
          <w:color w:val="auto"/>
          <w:sz w:val="23"/>
          <w:szCs w:val="23"/>
        </w:rPr>
        <w:t xml:space="preserve">. </w:t>
      </w:r>
      <w:r w:rsidRPr="0037379A">
        <w:rPr>
          <w:rFonts w:cs="TisaPro"/>
          <w:color w:val="auto"/>
          <w:sz w:val="23"/>
          <w:szCs w:val="23"/>
        </w:rPr>
        <w:t xml:space="preserve">(ReNPZV16-25 / Resolution on the national healthcare plan 2016–2025), </w:t>
      </w:r>
      <w:r w:rsidRPr="0037379A">
        <w:rPr>
          <w:rFonts w:eastAsia="Times New Roman" w:cs="Arial"/>
          <w:color w:val="auto"/>
          <w:sz w:val="23"/>
          <w:szCs w:val="23"/>
          <w:lang w:val="en-US" w:eastAsia="sl-SI"/>
        </w:rPr>
        <w:t xml:space="preserve">Dostopno na: </w:t>
      </w:r>
      <w:r w:rsidRPr="0037379A">
        <w:rPr>
          <w:rFonts w:cs="TisaPro"/>
          <w:color w:val="auto"/>
          <w:sz w:val="23"/>
          <w:szCs w:val="23"/>
        </w:rPr>
        <w:t xml:space="preserve">https://www.uradni-list.si/_pdf/2016/Ur/u2016025.pdf </w:t>
      </w:r>
    </w:p>
    <w:p w:rsidR="0037379A" w:rsidRPr="0037379A" w:rsidRDefault="0037379A" w:rsidP="0037379A">
      <w:pPr>
        <w:autoSpaceDE w:val="0"/>
        <w:autoSpaceDN w:val="0"/>
        <w:adjustRightInd w:val="0"/>
        <w:spacing w:after="120" w:line="276" w:lineRule="auto"/>
        <w:rPr>
          <w:rFonts w:eastAsia="Times New Roman" w:cs="Times New Roman"/>
          <w:iCs/>
          <w:color w:val="auto"/>
          <w:sz w:val="23"/>
          <w:szCs w:val="23"/>
          <w:lang w:eastAsia="sl-SI"/>
        </w:rPr>
      </w:pPr>
      <w:r w:rsidRPr="0037379A">
        <w:rPr>
          <w:rFonts w:cs="TisaPro-Bold"/>
          <w:bCs/>
          <w:i/>
          <w:color w:val="auto"/>
          <w:sz w:val="23"/>
          <w:szCs w:val="23"/>
          <w:lang w:val="it-IT"/>
        </w:rPr>
        <w:t>Resolucija o nacionalnem programu socialnega varstva za obdobje 2013–2020</w:t>
      </w:r>
      <w:r w:rsidRPr="0037379A">
        <w:rPr>
          <w:rFonts w:cs="TisaPro-Bold"/>
          <w:bCs/>
          <w:color w:val="auto"/>
          <w:sz w:val="23"/>
          <w:szCs w:val="23"/>
          <w:lang w:val="it-IT"/>
        </w:rPr>
        <w:t xml:space="preserve"> </w:t>
      </w:r>
      <w:r w:rsidRPr="0037379A">
        <w:rPr>
          <w:rFonts w:cs="TisaPro"/>
          <w:color w:val="auto"/>
          <w:sz w:val="23"/>
          <w:szCs w:val="23"/>
          <w:lang w:val="it-IT"/>
        </w:rPr>
        <w:t>(ReNPSV13-20).</w:t>
      </w:r>
      <w:r w:rsidRPr="0037379A">
        <w:rPr>
          <w:rFonts w:cs="TisaPro"/>
          <w:color w:val="auto"/>
          <w:sz w:val="23"/>
          <w:szCs w:val="23"/>
        </w:rPr>
        <w:t xml:space="preserve"> Official Gazette RS, No. 39/13.</w:t>
      </w:r>
    </w:p>
    <w:p w:rsidR="0037379A" w:rsidRPr="0037379A" w:rsidRDefault="0037379A" w:rsidP="0037379A">
      <w:pPr>
        <w:autoSpaceDE w:val="0"/>
        <w:autoSpaceDN w:val="0"/>
        <w:adjustRightInd w:val="0"/>
        <w:spacing w:after="120" w:line="276" w:lineRule="auto"/>
        <w:rPr>
          <w:rFonts w:eastAsia="PalladioLOT-Roman" w:cs="PalladioLOT-Roman"/>
          <w:color w:val="auto"/>
          <w:sz w:val="23"/>
          <w:szCs w:val="23"/>
        </w:rPr>
      </w:pPr>
      <w:r w:rsidRPr="0037379A">
        <w:rPr>
          <w:rFonts w:eastAsia="PalladioLOT-Roman" w:cs="PalladioLOT-Roman"/>
          <w:color w:val="auto"/>
          <w:sz w:val="23"/>
          <w:szCs w:val="23"/>
        </w:rPr>
        <w:t xml:space="preserve">Schuller, T. in R. Desjardins (2007). </w:t>
      </w:r>
      <w:r w:rsidRPr="0037379A">
        <w:rPr>
          <w:rFonts w:eastAsia="PalladioLOT-Roman" w:cs="PalladioLOT-Roman"/>
          <w:i/>
          <w:color w:val="auto"/>
          <w:sz w:val="23"/>
          <w:szCs w:val="23"/>
        </w:rPr>
        <w:t>Understanding the social outcomes of learning</w:t>
      </w:r>
      <w:r w:rsidRPr="0037379A">
        <w:rPr>
          <w:rFonts w:eastAsia="PalladioLOT-Roman" w:cs="PalladioLOT-Roman"/>
          <w:color w:val="auto"/>
          <w:sz w:val="23"/>
          <w:szCs w:val="23"/>
        </w:rPr>
        <w:t>. Paris: OECD.</w:t>
      </w:r>
    </w:p>
    <w:p w:rsidR="0037379A" w:rsidRPr="0037379A" w:rsidRDefault="0037379A" w:rsidP="0037379A">
      <w:pPr>
        <w:autoSpaceDE w:val="0"/>
        <w:autoSpaceDN w:val="0"/>
        <w:adjustRightInd w:val="0"/>
        <w:spacing w:after="120" w:line="276" w:lineRule="auto"/>
        <w:rPr>
          <w:rFonts w:eastAsia="PalladioLOT-Roman" w:cs="PalladioLOT-Roman"/>
          <w:color w:val="auto"/>
          <w:sz w:val="23"/>
          <w:szCs w:val="23"/>
        </w:rPr>
      </w:pPr>
      <w:r w:rsidRPr="0037379A">
        <w:rPr>
          <w:rFonts w:eastAsia="PalladioLOT-Roman" w:cs="PalladioLOT-Roman"/>
          <w:color w:val="auto"/>
          <w:sz w:val="23"/>
          <w:szCs w:val="23"/>
        </w:rPr>
        <w:t xml:space="preserve">Stropnik, N. in N. Kump (2008). Income and Poverty among the Older People in the New Member States: A Cross-Comparative Analysis. V: J. C. Vrooman (ue.), </w:t>
      </w:r>
      <w:r w:rsidRPr="0037379A">
        <w:rPr>
          <w:rFonts w:eastAsia="PalladioLOT-Italic" w:cs="PalladioLOT-Italic"/>
          <w:i/>
          <w:iCs/>
          <w:color w:val="auto"/>
          <w:sz w:val="23"/>
          <w:szCs w:val="23"/>
        </w:rPr>
        <w:t>The Elderly Poor in the EU‘s New Member States</w:t>
      </w:r>
      <w:r w:rsidRPr="0037379A">
        <w:rPr>
          <w:rFonts w:eastAsia="PalladioLOT-Roman" w:cs="PalladioLOT-Roman"/>
          <w:color w:val="auto"/>
          <w:sz w:val="23"/>
          <w:szCs w:val="23"/>
        </w:rPr>
        <w:t xml:space="preserve"> (str. 3–43). Brussels: European Network of European Policy Research Institutes.</w:t>
      </w:r>
    </w:p>
    <w:p w:rsidR="0037379A" w:rsidRPr="0037379A" w:rsidRDefault="0037379A" w:rsidP="0037379A">
      <w:pPr>
        <w:autoSpaceDE w:val="0"/>
        <w:autoSpaceDN w:val="0"/>
        <w:adjustRightInd w:val="0"/>
        <w:spacing w:after="120" w:line="276" w:lineRule="auto"/>
        <w:rPr>
          <w:rFonts w:eastAsia="PalladioLOT-Roman" w:cs="PalladioLOT-Roman"/>
          <w:color w:val="auto"/>
          <w:sz w:val="23"/>
          <w:szCs w:val="23"/>
        </w:rPr>
      </w:pPr>
      <w:r w:rsidRPr="0037379A">
        <w:rPr>
          <w:rFonts w:eastAsia="PalladioLOT-Roman" w:cs="PalladioLOT-Roman"/>
          <w:color w:val="auto"/>
          <w:sz w:val="23"/>
          <w:szCs w:val="23"/>
        </w:rPr>
        <w:t>Stropnik, N., N. Kump, M. Filipovič Hrast, V. Hlebec, A. Vezovnik, in M. Kavčič (2010). Poverty and Material Deprivation of the Elderly. Ljubljana: Inštitut za ekonomska raziskovanja.  D</w:t>
      </w:r>
      <w:r w:rsidRPr="0037379A">
        <w:rPr>
          <w:rFonts w:eastAsia="Times New Roman" w:cs="Arial"/>
          <w:color w:val="auto"/>
          <w:sz w:val="23"/>
          <w:szCs w:val="23"/>
          <w:lang w:eastAsia="sl-SI"/>
        </w:rPr>
        <w:t xml:space="preserve">ostopno na: </w:t>
      </w:r>
      <w:r w:rsidRPr="0037379A">
        <w:rPr>
          <w:rFonts w:eastAsia="PalladioLOT-Roman" w:cs="PalladioLOT-Roman"/>
          <w:color w:val="auto"/>
          <w:sz w:val="23"/>
          <w:szCs w:val="23"/>
        </w:rPr>
        <w:t xml:space="preserve"> (http://www.mddsz.gov.si/fileadmin/mddsz.gov.si/pageuploads/dokumenti__pdf/revscina_IER.pdf).</w:t>
      </w:r>
    </w:p>
    <w:p w:rsidR="0037379A" w:rsidRPr="0037379A" w:rsidRDefault="0037379A" w:rsidP="0037379A">
      <w:pPr>
        <w:autoSpaceDE w:val="0"/>
        <w:autoSpaceDN w:val="0"/>
        <w:adjustRightInd w:val="0"/>
        <w:spacing w:after="120" w:line="276" w:lineRule="auto"/>
        <w:rPr>
          <w:rFonts w:eastAsia="PalladioLOT-Roman" w:cs="PalladioLOT-Roman"/>
          <w:color w:val="auto"/>
          <w:sz w:val="23"/>
          <w:szCs w:val="23"/>
        </w:rPr>
      </w:pPr>
      <w:r w:rsidRPr="0037379A">
        <w:rPr>
          <w:rFonts w:eastAsia="PalladioLOT-Roman" w:cs="PalladioLOT-Roman"/>
          <w:color w:val="auto"/>
          <w:sz w:val="23"/>
          <w:szCs w:val="23"/>
        </w:rPr>
        <w:t xml:space="preserve">SURS (2017). Regije v številkah. Statistični portret slovenskih regij. </w:t>
      </w:r>
      <w:r w:rsidRPr="0037379A">
        <w:rPr>
          <w:rFonts w:eastAsia="Times New Roman" w:cs="Arial"/>
          <w:color w:val="auto"/>
          <w:sz w:val="23"/>
          <w:szCs w:val="23"/>
          <w:lang w:eastAsia="sl-SI"/>
        </w:rPr>
        <w:t xml:space="preserve">Dostopno na: </w:t>
      </w:r>
      <w:r w:rsidRPr="0037379A">
        <w:rPr>
          <w:rFonts w:eastAsia="PalladioLOT-Roman" w:cs="PalladioLOT-Roman"/>
          <w:color w:val="auto"/>
          <w:sz w:val="23"/>
          <w:szCs w:val="23"/>
        </w:rPr>
        <w:t>2017http://www.stat.si/StatWeb/File/DocSysFile/9374/regije_v_stevilkah_2017.pdf</w:t>
      </w:r>
    </w:p>
    <w:p w:rsidR="0037379A" w:rsidRPr="0037379A" w:rsidRDefault="0037379A" w:rsidP="0037379A">
      <w:pPr>
        <w:autoSpaceDE w:val="0"/>
        <w:autoSpaceDN w:val="0"/>
        <w:adjustRightInd w:val="0"/>
        <w:spacing w:after="120" w:line="276" w:lineRule="auto"/>
        <w:rPr>
          <w:rFonts w:eastAsia="PalladioLOT-Roman" w:cs="PalladioLOT-Roman"/>
          <w:color w:val="auto"/>
          <w:sz w:val="23"/>
          <w:szCs w:val="23"/>
        </w:rPr>
      </w:pPr>
      <w:r w:rsidRPr="0037379A">
        <w:rPr>
          <w:rFonts w:eastAsia="PalladioLOT-Roman" w:cs="PalladioLOT-Roman"/>
          <w:color w:val="auto"/>
          <w:sz w:val="23"/>
          <w:szCs w:val="23"/>
        </w:rPr>
        <w:t>SURS (2018). Nacionalna baza podatkov, dostopna na: http://www.stat.si/statweb</w:t>
      </w:r>
    </w:p>
    <w:p w:rsidR="0037379A" w:rsidRPr="0037379A" w:rsidRDefault="0037379A" w:rsidP="0037379A">
      <w:pPr>
        <w:autoSpaceDE w:val="0"/>
        <w:autoSpaceDN w:val="0"/>
        <w:adjustRightInd w:val="0"/>
        <w:spacing w:after="120" w:line="276" w:lineRule="auto"/>
        <w:rPr>
          <w:rFonts w:eastAsia="PalladioLOT-Roman" w:cs="PalladioLOT-Roman"/>
          <w:color w:val="auto"/>
          <w:sz w:val="23"/>
          <w:szCs w:val="23"/>
        </w:rPr>
      </w:pPr>
      <w:r w:rsidRPr="0037379A">
        <w:rPr>
          <w:rFonts w:eastAsia="PalladioLOT-Roman" w:cs="PalladioLOT-Roman"/>
          <w:color w:val="auto"/>
          <w:sz w:val="23"/>
          <w:szCs w:val="23"/>
        </w:rPr>
        <w:t xml:space="preserve">Tett, L., in K. Maclachlan (2007). Adult literacy and numeracy, social capital, learners identities and self-confidence. </w:t>
      </w:r>
      <w:r w:rsidRPr="0037379A">
        <w:rPr>
          <w:rFonts w:eastAsia="PalladioLOT-Roman" w:cs="PalladioLOT-Roman"/>
          <w:i/>
          <w:color w:val="auto"/>
          <w:sz w:val="23"/>
          <w:szCs w:val="23"/>
        </w:rPr>
        <w:t>Studies in the Education of Adults</w:t>
      </w:r>
      <w:r w:rsidRPr="0037379A">
        <w:rPr>
          <w:rFonts w:eastAsia="PalladioLOT-Roman" w:cs="PalladioLOT-Roman"/>
          <w:color w:val="auto"/>
          <w:sz w:val="23"/>
          <w:szCs w:val="23"/>
        </w:rPr>
        <w:t>, 39, 173–167.</w:t>
      </w:r>
    </w:p>
    <w:p w:rsidR="0037379A" w:rsidRPr="0037379A" w:rsidRDefault="0037379A" w:rsidP="0037379A">
      <w:pPr>
        <w:spacing w:after="120" w:line="276" w:lineRule="auto"/>
        <w:rPr>
          <w:rFonts w:cs="TisaSansPro"/>
          <w:color w:val="auto"/>
          <w:sz w:val="23"/>
          <w:szCs w:val="23"/>
        </w:rPr>
      </w:pPr>
      <w:r w:rsidRPr="0037379A">
        <w:rPr>
          <w:rFonts w:cs="TisaSansPro"/>
          <w:color w:val="auto"/>
          <w:sz w:val="23"/>
          <w:szCs w:val="23"/>
        </w:rPr>
        <w:t xml:space="preserve">UNECE in EU (2014). </w:t>
      </w:r>
      <w:r w:rsidRPr="0037379A">
        <w:rPr>
          <w:rFonts w:cs="TisaSansPro"/>
          <w:i/>
          <w:color w:val="auto"/>
          <w:sz w:val="23"/>
          <w:szCs w:val="23"/>
        </w:rPr>
        <w:t>Active Ageing Index for 28 European Union Countries</w:t>
      </w:r>
      <w:r w:rsidRPr="0037379A">
        <w:rPr>
          <w:rFonts w:cs="TisaSansPro"/>
          <w:color w:val="auto"/>
          <w:sz w:val="23"/>
          <w:szCs w:val="23"/>
        </w:rPr>
        <w:t xml:space="preserve">. </w:t>
      </w:r>
      <w:r w:rsidRPr="0037379A">
        <w:rPr>
          <w:rFonts w:eastAsia="Times New Roman" w:cs="Arial"/>
          <w:color w:val="auto"/>
          <w:sz w:val="23"/>
          <w:szCs w:val="23"/>
          <w:lang w:val="it-IT" w:eastAsia="sl-SI"/>
        </w:rPr>
        <w:t>Dostopno na:</w:t>
      </w:r>
      <w:r w:rsidRPr="0037379A">
        <w:rPr>
          <w:rFonts w:cs="TisaSansPro"/>
          <w:color w:val="auto"/>
          <w:sz w:val="23"/>
          <w:szCs w:val="23"/>
        </w:rPr>
        <w:t xml:space="preserve"> https://www.unece.org/fileadmin/DAM/pau/age/WG7/Documents/Policy_Brief_AAI_for_EG_v2.pdf</w:t>
      </w:r>
    </w:p>
    <w:p w:rsidR="0037379A" w:rsidRPr="0037379A" w:rsidRDefault="0037379A" w:rsidP="0037379A">
      <w:pPr>
        <w:spacing w:after="120" w:line="276" w:lineRule="auto"/>
        <w:rPr>
          <w:rFonts w:cs="TisaSansPro"/>
          <w:color w:val="auto"/>
          <w:sz w:val="23"/>
          <w:szCs w:val="23"/>
        </w:rPr>
      </w:pPr>
      <w:r w:rsidRPr="0037379A">
        <w:rPr>
          <w:rFonts w:cs="TisaSansPro"/>
          <w:color w:val="auto"/>
          <w:sz w:val="23"/>
          <w:szCs w:val="23"/>
        </w:rPr>
        <w:t xml:space="preserve">Voljč, B. (ur.) (2016). Public health importance of falls in the elderly and preventive strategies in Slovenia. Emonicum Institute for Healthy and Active Life. </w:t>
      </w:r>
      <w:r w:rsidRPr="0037379A">
        <w:rPr>
          <w:rFonts w:eastAsia="Times New Roman" w:cs="Arial"/>
          <w:color w:val="auto"/>
          <w:sz w:val="23"/>
          <w:szCs w:val="23"/>
          <w:lang w:val="en-US" w:eastAsia="sl-SI"/>
        </w:rPr>
        <w:t xml:space="preserve">Dostopno </w:t>
      </w:r>
      <w:proofErr w:type="gramStart"/>
      <w:r w:rsidRPr="0037379A">
        <w:rPr>
          <w:rFonts w:eastAsia="Times New Roman" w:cs="Arial"/>
          <w:color w:val="auto"/>
          <w:sz w:val="23"/>
          <w:szCs w:val="23"/>
          <w:lang w:val="en-US" w:eastAsia="sl-SI"/>
        </w:rPr>
        <w:t>na</w:t>
      </w:r>
      <w:proofErr w:type="gramEnd"/>
      <w:r w:rsidRPr="0037379A">
        <w:rPr>
          <w:rFonts w:eastAsia="Times New Roman" w:cs="Arial"/>
          <w:color w:val="auto"/>
          <w:sz w:val="23"/>
          <w:szCs w:val="23"/>
          <w:lang w:val="en-US" w:eastAsia="sl-SI"/>
        </w:rPr>
        <w:t xml:space="preserve">: </w:t>
      </w:r>
      <w:r w:rsidRPr="0037379A">
        <w:rPr>
          <w:rFonts w:cs="TisaSansPro"/>
          <w:color w:val="auto"/>
          <w:sz w:val="23"/>
          <w:szCs w:val="23"/>
        </w:rPr>
        <w:t>http://www.staranje.si/sites/www.staranje.si/files/upload/images/analitsko_poro_ilo3-padci-ang_1.pdf</w:t>
      </w:r>
    </w:p>
    <w:p w:rsidR="0037379A" w:rsidRPr="0037379A" w:rsidRDefault="0037379A" w:rsidP="0037379A">
      <w:pPr>
        <w:spacing w:after="120" w:line="276" w:lineRule="auto"/>
        <w:rPr>
          <w:rFonts w:cs="TisaSansPro"/>
          <w:color w:val="auto"/>
          <w:sz w:val="23"/>
          <w:szCs w:val="23"/>
        </w:rPr>
      </w:pPr>
      <w:r w:rsidRPr="0037379A">
        <w:rPr>
          <w:rFonts w:cs="TisaSansPro"/>
          <w:color w:val="auto"/>
          <w:sz w:val="23"/>
          <w:szCs w:val="23"/>
        </w:rPr>
        <w:t xml:space="preserve">Williamson, T. (2011). Grouchy old men? Promoting older men‘s mental health and emotional wellbeing. </w:t>
      </w:r>
      <w:r w:rsidRPr="0037379A">
        <w:rPr>
          <w:rFonts w:cs="TisaSansPro"/>
          <w:i/>
          <w:color w:val="auto"/>
          <w:sz w:val="23"/>
          <w:szCs w:val="23"/>
        </w:rPr>
        <w:t>Working with older people</w:t>
      </w:r>
      <w:r w:rsidRPr="0037379A">
        <w:rPr>
          <w:rFonts w:cs="TisaSansPro"/>
          <w:color w:val="auto"/>
          <w:sz w:val="23"/>
          <w:szCs w:val="23"/>
        </w:rPr>
        <w:t>, 15, 64–76.</w:t>
      </w:r>
    </w:p>
    <w:p w:rsidR="0037379A" w:rsidRPr="00A070E6" w:rsidRDefault="0037379A" w:rsidP="0037379A">
      <w:pPr>
        <w:spacing w:after="120" w:line="276" w:lineRule="auto"/>
        <w:rPr>
          <w:rFonts w:eastAsia="Times New Roman" w:cs="Arial"/>
          <w:color w:val="auto"/>
          <w:sz w:val="23"/>
          <w:szCs w:val="23"/>
          <w:lang w:val="en-US" w:eastAsia="sl-SI"/>
        </w:rPr>
      </w:pPr>
      <w:r w:rsidRPr="0037379A">
        <w:rPr>
          <w:rFonts w:eastAsia="Times New Roman" w:cs="Arial"/>
          <w:color w:val="auto"/>
          <w:sz w:val="23"/>
          <w:szCs w:val="23"/>
          <w:lang w:val="en-US" w:eastAsia="sl-SI"/>
        </w:rPr>
        <w:t>Wolfgang L., A. Goujon, S. KC, M. Stonawski in N. Stilianakis (</w:t>
      </w:r>
      <w:proofErr w:type="gramStart"/>
      <w:r w:rsidRPr="0037379A">
        <w:rPr>
          <w:rFonts w:eastAsia="Times New Roman" w:cs="Arial"/>
          <w:color w:val="auto"/>
          <w:sz w:val="23"/>
          <w:szCs w:val="23"/>
          <w:lang w:val="en-US" w:eastAsia="sl-SI"/>
        </w:rPr>
        <w:t>ur</w:t>
      </w:r>
      <w:proofErr w:type="gramEnd"/>
      <w:r w:rsidRPr="0037379A">
        <w:rPr>
          <w:rFonts w:eastAsia="Times New Roman" w:cs="Arial"/>
          <w:color w:val="auto"/>
          <w:sz w:val="23"/>
          <w:szCs w:val="23"/>
          <w:lang w:val="en-US" w:eastAsia="sl-SI"/>
        </w:rPr>
        <w:t xml:space="preserve">.) </w:t>
      </w:r>
      <w:proofErr w:type="gramStart"/>
      <w:r w:rsidRPr="0037379A">
        <w:rPr>
          <w:rFonts w:eastAsia="Times New Roman" w:cs="Arial"/>
          <w:color w:val="auto"/>
          <w:sz w:val="23"/>
          <w:szCs w:val="23"/>
          <w:lang w:val="en-US" w:eastAsia="sl-SI"/>
        </w:rPr>
        <w:t xml:space="preserve">(2018). </w:t>
      </w:r>
      <w:r w:rsidRPr="0037379A">
        <w:rPr>
          <w:rFonts w:eastAsia="Times New Roman" w:cs="Arial"/>
          <w:i/>
          <w:color w:val="auto"/>
          <w:sz w:val="23"/>
          <w:szCs w:val="23"/>
          <w:lang w:val="en-US" w:eastAsia="sl-SI"/>
        </w:rPr>
        <w:t>Demographic and human capital scenarios for the 21st century.</w:t>
      </w:r>
      <w:proofErr w:type="gramEnd"/>
      <w:r w:rsidRPr="0037379A">
        <w:rPr>
          <w:rFonts w:eastAsia="Times New Roman" w:cs="Arial"/>
          <w:i/>
          <w:color w:val="auto"/>
          <w:sz w:val="23"/>
          <w:szCs w:val="23"/>
          <w:lang w:val="en-US" w:eastAsia="sl-SI"/>
        </w:rPr>
        <w:t xml:space="preserve"> </w:t>
      </w:r>
      <w:proofErr w:type="gramStart"/>
      <w:r w:rsidRPr="0037379A">
        <w:rPr>
          <w:rFonts w:eastAsia="Times New Roman" w:cs="Arial"/>
          <w:i/>
          <w:color w:val="auto"/>
          <w:sz w:val="23"/>
          <w:szCs w:val="23"/>
          <w:lang w:val="en-US" w:eastAsia="sl-SI"/>
        </w:rPr>
        <w:t>Assessment for 201 countries</w:t>
      </w:r>
      <w:r w:rsidRPr="0037379A">
        <w:rPr>
          <w:rFonts w:eastAsia="Times New Roman" w:cs="Arial"/>
          <w:color w:val="auto"/>
          <w:sz w:val="23"/>
          <w:szCs w:val="23"/>
          <w:lang w:val="en-US" w:eastAsia="sl-SI"/>
        </w:rPr>
        <w:t>.</w:t>
      </w:r>
      <w:proofErr w:type="gramEnd"/>
      <w:r w:rsidRPr="0037379A">
        <w:rPr>
          <w:rFonts w:eastAsia="Times New Roman" w:cs="Arial"/>
          <w:color w:val="auto"/>
          <w:sz w:val="23"/>
          <w:szCs w:val="23"/>
          <w:lang w:val="en-US" w:eastAsia="sl-SI"/>
        </w:rPr>
        <w:t xml:space="preserve"> Luxembourg: Publications Office of the European Union. </w:t>
      </w:r>
      <w:r w:rsidRPr="00A070E6">
        <w:rPr>
          <w:rFonts w:eastAsia="Times New Roman" w:cs="Arial"/>
          <w:color w:val="auto"/>
          <w:sz w:val="23"/>
          <w:szCs w:val="23"/>
          <w:lang w:val="en-US" w:eastAsia="sl-SI"/>
        </w:rPr>
        <w:t xml:space="preserve">Dostopno </w:t>
      </w:r>
      <w:proofErr w:type="gramStart"/>
      <w:r w:rsidRPr="00A070E6">
        <w:rPr>
          <w:rFonts w:eastAsia="Times New Roman" w:cs="Arial"/>
          <w:color w:val="auto"/>
          <w:sz w:val="23"/>
          <w:szCs w:val="23"/>
          <w:lang w:val="en-US" w:eastAsia="sl-SI"/>
        </w:rPr>
        <w:t>na</w:t>
      </w:r>
      <w:proofErr w:type="gramEnd"/>
      <w:r w:rsidRPr="00A070E6">
        <w:rPr>
          <w:rFonts w:eastAsia="Times New Roman" w:cs="Arial"/>
          <w:color w:val="auto"/>
          <w:sz w:val="23"/>
          <w:szCs w:val="23"/>
          <w:lang w:val="en-US" w:eastAsia="sl-SI"/>
        </w:rPr>
        <w:t>: https://ec.europa.eu/jrc/sites/jrcsh/files/lutz_et_al_2018_demographic_and_human_capital.pdf</w:t>
      </w:r>
    </w:p>
    <w:p w:rsidR="0037379A" w:rsidRPr="00A070E6" w:rsidRDefault="0037379A" w:rsidP="0037379A">
      <w:pPr>
        <w:spacing w:after="120" w:line="276" w:lineRule="auto"/>
        <w:jc w:val="both"/>
        <w:rPr>
          <w:rFonts w:cs="Arial"/>
          <w:color w:val="auto"/>
          <w:sz w:val="22"/>
          <w:szCs w:val="22"/>
          <w:lang w:val="en-US"/>
        </w:rPr>
      </w:pPr>
    </w:p>
    <w:sectPr w:rsidR="0037379A" w:rsidRPr="00A070E6" w:rsidSect="0037379A">
      <w:footerReference w:type="default" r:id="rId14"/>
      <w:headerReference w:type="first" r:id="rId15"/>
      <w:pgSz w:w="11907" w:h="16839" w:code="9"/>
      <w:pgMar w:top="1417" w:right="1134" w:bottom="1134" w:left="1276" w:header="862"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014" w:rsidRDefault="00491014">
      <w:r>
        <w:separator/>
      </w:r>
    </w:p>
  </w:endnote>
  <w:endnote w:type="continuationSeparator" w:id="0">
    <w:p w:rsidR="00491014" w:rsidRDefault="00491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PalladioLOT-Roman">
    <w:altName w:val="MS Mincho"/>
    <w:panose1 w:val="00000000000000000000"/>
    <w:charset w:val="80"/>
    <w:family w:val="auto"/>
    <w:notTrueType/>
    <w:pitch w:val="default"/>
    <w:sig w:usb0="00000001" w:usb1="08070000" w:usb2="00000010" w:usb3="00000000" w:csb0="00020000" w:csb1="00000000"/>
  </w:font>
  <w:font w:name="TisaSansPro">
    <w:altName w:val="Arial"/>
    <w:panose1 w:val="00000000000000000000"/>
    <w:charset w:val="EE"/>
    <w:family w:val="swiss"/>
    <w:notTrueType/>
    <w:pitch w:val="default"/>
    <w:sig w:usb0="00000001" w:usb1="00000000" w:usb2="00000000" w:usb3="00000000" w:csb0="00000003" w:csb1="00000000"/>
  </w:font>
  <w:font w:name="TisaPro-Bold">
    <w:panose1 w:val="00000000000000000000"/>
    <w:charset w:val="EE"/>
    <w:family w:val="roman"/>
    <w:notTrueType/>
    <w:pitch w:val="default"/>
    <w:sig w:usb0="00000005" w:usb1="00000000" w:usb2="00000000" w:usb3="00000000" w:csb0="00000002" w:csb1="00000000"/>
  </w:font>
  <w:font w:name="TisaPro">
    <w:panose1 w:val="00000000000000000000"/>
    <w:charset w:val="EE"/>
    <w:family w:val="roman"/>
    <w:notTrueType/>
    <w:pitch w:val="default"/>
    <w:sig w:usb0="00000005" w:usb1="00000000" w:usb2="00000000" w:usb3="00000000" w:csb0="00000002" w:csb1="00000000"/>
  </w:font>
  <w:font w:name="PalladioLOT-Ital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585718"/>
      <w:docPartObj>
        <w:docPartGallery w:val="Page Numbers (Bottom of Page)"/>
        <w:docPartUnique/>
      </w:docPartObj>
    </w:sdtPr>
    <w:sdtEndPr>
      <w:rPr>
        <w:noProof/>
      </w:rPr>
    </w:sdtEndPr>
    <w:sdtContent>
      <w:p w:rsidR="00AF378D" w:rsidRDefault="00AF378D">
        <w:pPr>
          <w:pStyle w:val="Footer"/>
          <w:jc w:val="center"/>
        </w:pPr>
        <w:r>
          <w:fldChar w:fldCharType="begin"/>
        </w:r>
        <w:r>
          <w:instrText xml:space="preserve"> PAGE   \* MERGEFORMAT </w:instrText>
        </w:r>
        <w:r>
          <w:fldChar w:fldCharType="separate"/>
        </w:r>
        <w:r w:rsidR="00A070E6">
          <w:rPr>
            <w:noProof/>
          </w:rPr>
          <w:t>12</w:t>
        </w:r>
        <w:r>
          <w:rPr>
            <w:noProof/>
          </w:rPr>
          <w:fldChar w:fldCharType="end"/>
        </w:r>
      </w:p>
    </w:sdtContent>
  </w:sdt>
  <w:p w:rsidR="00AF378D" w:rsidRDefault="00AF37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014" w:rsidRDefault="00491014">
      <w:r>
        <w:separator/>
      </w:r>
    </w:p>
  </w:footnote>
  <w:footnote w:type="continuationSeparator" w:id="0">
    <w:p w:rsidR="00491014" w:rsidRDefault="00491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5575"/>
      <w:gridCol w:w="4138"/>
    </w:tblGrid>
    <w:tr w:rsidR="00D60DC3" w:rsidTr="006072F1">
      <w:tc>
        <w:tcPr>
          <w:tcW w:w="5000" w:type="pct"/>
          <w:gridSpan w:val="2"/>
          <w:vAlign w:val="bottom"/>
        </w:tcPr>
        <w:p w:rsidR="00D60DC3" w:rsidRDefault="00D60DC3" w:rsidP="00C72553">
          <w:pPr>
            <w:jc w:val="center"/>
            <w:rPr>
              <w:noProof/>
              <w:lang w:eastAsia="sl-SI"/>
            </w:rPr>
          </w:pPr>
          <w:r>
            <w:rPr>
              <w:b/>
              <w:i/>
              <w:color w:val="0070C0"/>
              <w:sz w:val="28"/>
              <w:szCs w:val="28"/>
            </w:rPr>
            <w:t>Vključevanje starejših moških v skupnost/</w:t>
          </w:r>
          <w:r w:rsidRPr="00F83AB7">
            <w:rPr>
              <w:b/>
              <w:i/>
              <w:color w:val="0070C0"/>
              <w:sz w:val="28"/>
              <w:szCs w:val="28"/>
            </w:rPr>
            <w:t>Old Guys Say Yes to Community</w:t>
          </w:r>
        </w:p>
      </w:tc>
    </w:tr>
    <w:tr w:rsidR="00D60DC3" w:rsidTr="00C72553">
      <w:tc>
        <w:tcPr>
          <w:tcW w:w="2870" w:type="pct"/>
          <w:vMerge w:val="restart"/>
          <w:vAlign w:val="bottom"/>
        </w:tcPr>
        <w:p w:rsidR="00D60DC3" w:rsidRDefault="00D60DC3" w:rsidP="006072F1">
          <w:pPr>
            <w:jc w:val="both"/>
          </w:pPr>
          <w:r>
            <w:rPr>
              <w:noProof/>
              <w:lang w:eastAsia="sl-SI"/>
            </w:rPr>
            <w:drawing>
              <wp:inline distT="0" distB="0" distL="0" distR="0" wp14:anchorId="2C078485" wp14:editId="3773BACF">
                <wp:extent cx="3027707" cy="904381"/>
                <wp:effectExtent l="0" t="0" r="127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27707" cy="904381"/>
                        </a:xfrm>
                        <a:prstGeom prst="rect">
                          <a:avLst/>
                        </a:prstGeom>
                        <a:noFill/>
                        <a:ln>
                          <a:noFill/>
                        </a:ln>
                        <a:extLst/>
                      </pic:spPr>
                    </pic:pic>
                  </a:graphicData>
                </a:graphic>
              </wp:inline>
            </w:drawing>
          </w:r>
        </w:p>
        <w:p w:rsidR="00D60DC3" w:rsidRDefault="00D60DC3" w:rsidP="00F83AB7">
          <w:pPr>
            <w:jc w:val="both"/>
            <w:rPr>
              <w:color w:val="0070C0"/>
              <w:sz w:val="14"/>
              <w:szCs w:val="14"/>
            </w:rPr>
          </w:pPr>
        </w:p>
        <w:p w:rsidR="00D60DC3" w:rsidRPr="00782702" w:rsidRDefault="00D60DC3" w:rsidP="00625F3D">
          <w:pPr>
            <w:rPr>
              <w:color w:val="0070C0"/>
              <w:sz w:val="16"/>
              <w:szCs w:val="16"/>
            </w:rPr>
          </w:pPr>
          <w:r>
            <w:rPr>
              <w:color w:val="0070C0"/>
              <w:sz w:val="16"/>
              <w:szCs w:val="16"/>
            </w:rPr>
            <w:t xml:space="preserve">Projekt je financirala Evropska komisija. Publikacija odraža menenje avtorjev, zato komisija ne more biti odgovorna za rabo podatkov in informacij, ki jih vsebuje.  </w:t>
          </w:r>
        </w:p>
      </w:tc>
      <w:tc>
        <w:tcPr>
          <w:tcW w:w="2130" w:type="pct"/>
          <w:vAlign w:val="bottom"/>
        </w:tcPr>
        <w:p w:rsidR="00D60DC3" w:rsidRPr="00F83AB7" w:rsidRDefault="00491014" w:rsidP="00F83AB7">
          <w:pPr>
            <w:pStyle w:val="nagwek"/>
            <w:rPr>
              <w:b/>
              <w:noProof/>
              <w:lang w:eastAsia="sl-SI"/>
            </w:rPr>
          </w:pPr>
          <w:sdt>
            <w:sdtPr>
              <w:rPr>
                <w:b/>
                <w:noProof/>
                <w:lang w:eastAsia="sl-SI"/>
              </w:rPr>
              <w:alias w:val="Kliknij ikonę, aby zastąpić obraz"/>
              <w:tag w:val="Kliknij ikonę, aby zastąpić obraz"/>
              <w:id w:val="722794927"/>
              <w:picture/>
            </w:sdtPr>
            <w:sdtEndPr/>
            <w:sdtContent>
              <w:r w:rsidR="00D60DC3" w:rsidRPr="00F83AB7">
                <w:rPr>
                  <w:b/>
                  <w:noProof/>
                  <w:lang w:eastAsia="sl-SI"/>
                </w:rPr>
                <w:drawing>
                  <wp:inline distT="0" distB="0" distL="0" distR="0" wp14:anchorId="6DD25E87" wp14:editId="3A815E40">
                    <wp:extent cx="765773" cy="6667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774503" cy="674351"/>
                            </a:xfrm>
                            <a:prstGeom prst="rect">
                              <a:avLst/>
                            </a:prstGeom>
                          </pic:spPr>
                        </pic:pic>
                      </a:graphicData>
                    </a:graphic>
                  </wp:inline>
                </w:drawing>
              </w:r>
            </w:sdtContent>
          </w:sdt>
        </w:p>
        <w:p w:rsidR="00D60DC3" w:rsidRPr="00F83AB7" w:rsidRDefault="00D60DC3" w:rsidP="00C72553">
          <w:pPr>
            <w:pStyle w:val="nagwek"/>
            <w:rPr>
              <w:b/>
              <w:noProof/>
              <w:lang w:eastAsia="sl-SI"/>
            </w:rPr>
          </w:pPr>
          <w:r w:rsidRPr="00F83AB7">
            <w:rPr>
              <w:b/>
              <w:noProof/>
              <w:lang w:eastAsia="sl-SI"/>
            </w:rPr>
            <w:t>Uni</w:t>
          </w:r>
          <w:r>
            <w:rPr>
              <w:b/>
              <w:noProof/>
              <w:lang w:eastAsia="sl-SI"/>
            </w:rPr>
            <w:t>verza v Ljubljani, Filozofska fakulteta</w:t>
          </w:r>
        </w:p>
      </w:tc>
    </w:tr>
    <w:tr w:rsidR="00D60DC3" w:rsidTr="00C72553">
      <w:tc>
        <w:tcPr>
          <w:tcW w:w="2870" w:type="pct"/>
          <w:vMerge/>
        </w:tcPr>
        <w:p w:rsidR="00D60DC3" w:rsidRDefault="00D60DC3"/>
      </w:tc>
      <w:tc>
        <w:tcPr>
          <w:tcW w:w="2130" w:type="pct"/>
        </w:tcPr>
        <w:p w:rsidR="00D60DC3" w:rsidRDefault="00D60DC3" w:rsidP="00F83AB7">
          <w:pPr>
            <w:jc w:val="right"/>
            <w:rPr>
              <w:b/>
            </w:rPr>
          </w:pPr>
          <w:r w:rsidRPr="00F83AB7">
            <w:rPr>
              <w:b/>
              <w:noProof/>
              <w:lang w:eastAsia="sl-SI"/>
            </w:rPr>
            <w:drawing>
              <wp:inline distT="0" distB="0" distL="0" distR="0" wp14:anchorId="100984CF" wp14:editId="5838BE95">
                <wp:extent cx="762000" cy="537412"/>
                <wp:effectExtent l="0" t="0" r="0" b="0"/>
                <wp:docPr id="17" name="Picture 17" descr="http://www.andragosko-drustvo.si/wp-content/uploads/2015/10/ads_logo_67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ndragosko-drustvo.si/wp-content/uploads/2015/10/ads_logo_67px.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2000" cy="537412"/>
                        </a:xfrm>
                        <a:prstGeom prst="rect">
                          <a:avLst/>
                        </a:prstGeom>
                        <a:noFill/>
                        <a:ln>
                          <a:noFill/>
                        </a:ln>
                      </pic:spPr>
                    </pic:pic>
                  </a:graphicData>
                </a:graphic>
              </wp:inline>
            </w:drawing>
          </w:r>
        </w:p>
        <w:p w:rsidR="00D60DC3" w:rsidRPr="00F83AB7" w:rsidRDefault="00D60DC3" w:rsidP="00F83AB7">
          <w:pPr>
            <w:jc w:val="right"/>
            <w:rPr>
              <w:b/>
            </w:rPr>
          </w:pPr>
          <w:r>
            <w:rPr>
              <w:b/>
            </w:rPr>
            <w:t>Andragoško društvo Slovenije</w:t>
          </w:r>
          <w:r w:rsidRPr="00F83AB7">
            <w:rPr>
              <w:b/>
            </w:rPr>
            <w:t xml:space="preserve"> </w:t>
          </w:r>
        </w:p>
      </w:tc>
    </w:tr>
  </w:tbl>
  <w:p w:rsidR="00D60DC3" w:rsidRDefault="00D60DC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A8A"/>
    <w:multiLevelType w:val="hybridMultilevel"/>
    <w:tmpl w:val="C9BE3140"/>
    <w:lvl w:ilvl="0" w:tplc="70862958">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876204"/>
    <w:multiLevelType w:val="multilevel"/>
    <w:tmpl w:val="0809001D"/>
    <w:numStyleLink w:val="Style3"/>
  </w:abstractNum>
  <w:abstractNum w:abstractNumId="2">
    <w:nsid w:val="0D9E0AFD"/>
    <w:multiLevelType w:val="hybridMultilevel"/>
    <w:tmpl w:val="858CE8DC"/>
    <w:lvl w:ilvl="0" w:tplc="4EEE8B74">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5F74D9D"/>
    <w:multiLevelType w:val="hybridMultilevel"/>
    <w:tmpl w:val="7DC444A6"/>
    <w:lvl w:ilvl="0" w:tplc="0CC67C06">
      <w:start w:val="1"/>
      <w:numFmt w:val="decimal"/>
      <w:lvlText w:val="%1."/>
      <w:lvlJc w:val="left"/>
      <w:pPr>
        <w:ind w:left="504" w:hanging="360"/>
      </w:pPr>
      <w:rPr>
        <w:rFonts w:hint="default"/>
      </w:rPr>
    </w:lvl>
    <w:lvl w:ilvl="1" w:tplc="04240019" w:tentative="1">
      <w:start w:val="1"/>
      <w:numFmt w:val="lowerLetter"/>
      <w:lvlText w:val="%2."/>
      <w:lvlJc w:val="left"/>
      <w:pPr>
        <w:ind w:left="1224" w:hanging="360"/>
      </w:pPr>
    </w:lvl>
    <w:lvl w:ilvl="2" w:tplc="0424001B" w:tentative="1">
      <w:start w:val="1"/>
      <w:numFmt w:val="lowerRoman"/>
      <w:lvlText w:val="%3."/>
      <w:lvlJc w:val="right"/>
      <w:pPr>
        <w:ind w:left="1944" w:hanging="180"/>
      </w:pPr>
    </w:lvl>
    <w:lvl w:ilvl="3" w:tplc="0424000F" w:tentative="1">
      <w:start w:val="1"/>
      <w:numFmt w:val="decimal"/>
      <w:lvlText w:val="%4."/>
      <w:lvlJc w:val="left"/>
      <w:pPr>
        <w:ind w:left="2664" w:hanging="360"/>
      </w:pPr>
    </w:lvl>
    <w:lvl w:ilvl="4" w:tplc="04240019" w:tentative="1">
      <w:start w:val="1"/>
      <w:numFmt w:val="lowerLetter"/>
      <w:lvlText w:val="%5."/>
      <w:lvlJc w:val="left"/>
      <w:pPr>
        <w:ind w:left="3384" w:hanging="360"/>
      </w:pPr>
    </w:lvl>
    <w:lvl w:ilvl="5" w:tplc="0424001B" w:tentative="1">
      <w:start w:val="1"/>
      <w:numFmt w:val="lowerRoman"/>
      <w:lvlText w:val="%6."/>
      <w:lvlJc w:val="right"/>
      <w:pPr>
        <w:ind w:left="4104" w:hanging="180"/>
      </w:pPr>
    </w:lvl>
    <w:lvl w:ilvl="6" w:tplc="0424000F" w:tentative="1">
      <w:start w:val="1"/>
      <w:numFmt w:val="decimal"/>
      <w:lvlText w:val="%7."/>
      <w:lvlJc w:val="left"/>
      <w:pPr>
        <w:ind w:left="4824" w:hanging="360"/>
      </w:pPr>
    </w:lvl>
    <w:lvl w:ilvl="7" w:tplc="04240019" w:tentative="1">
      <w:start w:val="1"/>
      <w:numFmt w:val="lowerLetter"/>
      <w:lvlText w:val="%8."/>
      <w:lvlJc w:val="left"/>
      <w:pPr>
        <w:ind w:left="5544" w:hanging="360"/>
      </w:pPr>
    </w:lvl>
    <w:lvl w:ilvl="8" w:tplc="0424001B" w:tentative="1">
      <w:start w:val="1"/>
      <w:numFmt w:val="lowerRoman"/>
      <w:lvlText w:val="%9."/>
      <w:lvlJc w:val="right"/>
      <w:pPr>
        <w:ind w:left="6264" w:hanging="180"/>
      </w:pPr>
    </w:lvl>
  </w:abstractNum>
  <w:abstractNum w:abstractNumId="4">
    <w:nsid w:val="28730C70"/>
    <w:multiLevelType w:val="hybridMultilevel"/>
    <w:tmpl w:val="77884054"/>
    <w:lvl w:ilvl="0" w:tplc="C2B8932A">
      <w:start w:val="1"/>
      <w:numFmt w:val="decimal"/>
      <w:lvlText w:val="%1"/>
      <w:lvlJc w:val="left"/>
      <w:pPr>
        <w:ind w:left="504" w:hanging="360"/>
      </w:pPr>
      <w:rPr>
        <w:rFonts w:hint="default"/>
      </w:rPr>
    </w:lvl>
    <w:lvl w:ilvl="1" w:tplc="04240019" w:tentative="1">
      <w:start w:val="1"/>
      <w:numFmt w:val="lowerLetter"/>
      <w:lvlText w:val="%2."/>
      <w:lvlJc w:val="left"/>
      <w:pPr>
        <w:ind w:left="1224" w:hanging="360"/>
      </w:pPr>
    </w:lvl>
    <w:lvl w:ilvl="2" w:tplc="0424001B" w:tentative="1">
      <w:start w:val="1"/>
      <w:numFmt w:val="lowerRoman"/>
      <w:lvlText w:val="%3."/>
      <w:lvlJc w:val="right"/>
      <w:pPr>
        <w:ind w:left="1944" w:hanging="180"/>
      </w:pPr>
    </w:lvl>
    <w:lvl w:ilvl="3" w:tplc="0424000F" w:tentative="1">
      <w:start w:val="1"/>
      <w:numFmt w:val="decimal"/>
      <w:lvlText w:val="%4."/>
      <w:lvlJc w:val="left"/>
      <w:pPr>
        <w:ind w:left="2664" w:hanging="360"/>
      </w:pPr>
    </w:lvl>
    <w:lvl w:ilvl="4" w:tplc="04240019" w:tentative="1">
      <w:start w:val="1"/>
      <w:numFmt w:val="lowerLetter"/>
      <w:lvlText w:val="%5."/>
      <w:lvlJc w:val="left"/>
      <w:pPr>
        <w:ind w:left="3384" w:hanging="360"/>
      </w:pPr>
    </w:lvl>
    <w:lvl w:ilvl="5" w:tplc="0424001B" w:tentative="1">
      <w:start w:val="1"/>
      <w:numFmt w:val="lowerRoman"/>
      <w:lvlText w:val="%6."/>
      <w:lvlJc w:val="right"/>
      <w:pPr>
        <w:ind w:left="4104" w:hanging="180"/>
      </w:pPr>
    </w:lvl>
    <w:lvl w:ilvl="6" w:tplc="0424000F" w:tentative="1">
      <w:start w:val="1"/>
      <w:numFmt w:val="decimal"/>
      <w:lvlText w:val="%7."/>
      <w:lvlJc w:val="left"/>
      <w:pPr>
        <w:ind w:left="4824" w:hanging="360"/>
      </w:pPr>
    </w:lvl>
    <w:lvl w:ilvl="7" w:tplc="04240019" w:tentative="1">
      <w:start w:val="1"/>
      <w:numFmt w:val="lowerLetter"/>
      <w:lvlText w:val="%8."/>
      <w:lvlJc w:val="left"/>
      <w:pPr>
        <w:ind w:left="5544" w:hanging="360"/>
      </w:pPr>
    </w:lvl>
    <w:lvl w:ilvl="8" w:tplc="0424001B" w:tentative="1">
      <w:start w:val="1"/>
      <w:numFmt w:val="lowerRoman"/>
      <w:lvlText w:val="%9."/>
      <w:lvlJc w:val="right"/>
      <w:pPr>
        <w:ind w:left="6264" w:hanging="180"/>
      </w:pPr>
    </w:lvl>
  </w:abstractNum>
  <w:abstractNum w:abstractNumId="5">
    <w:nsid w:val="2C685481"/>
    <w:multiLevelType w:val="hybridMultilevel"/>
    <w:tmpl w:val="9FB8F436"/>
    <w:lvl w:ilvl="0" w:tplc="04240001">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6">
    <w:nsid w:val="356E7081"/>
    <w:multiLevelType w:val="hybridMultilevel"/>
    <w:tmpl w:val="7FA2E384"/>
    <w:lvl w:ilvl="0" w:tplc="531E0A2C">
      <w:start w:val="1"/>
      <w:numFmt w:val="decimal"/>
      <w:lvlText w:val="%1."/>
      <w:lvlJc w:val="left"/>
      <w:pPr>
        <w:ind w:left="504" w:hanging="360"/>
      </w:pPr>
      <w:rPr>
        <w:rFonts w:hint="default"/>
      </w:rPr>
    </w:lvl>
    <w:lvl w:ilvl="1" w:tplc="04150019" w:tentative="1">
      <w:start w:val="1"/>
      <w:numFmt w:val="lowerLetter"/>
      <w:lvlText w:val="%2."/>
      <w:lvlJc w:val="left"/>
      <w:pPr>
        <w:ind w:left="1224" w:hanging="360"/>
      </w:pPr>
    </w:lvl>
    <w:lvl w:ilvl="2" w:tplc="0415001B" w:tentative="1">
      <w:start w:val="1"/>
      <w:numFmt w:val="lowerRoman"/>
      <w:lvlText w:val="%3."/>
      <w:lvlJc w:val="right"/>
      <w:pPr>
        <w:ind w:left="1944" w:hanging="180"/>
      </w:pPr>
    </w:lvl>
    <w:lvl w:ilvl="3" w:tplc="0415000F" w:tentative="1">
      <w:start w:val="1"/>
      <w:numFmt w:val="decimal"/>
      <w:lvlText w:val="%4."/>
      <w:lvlJc w:val="left"/>
      <w:pPr>
        <w:ind w:left="2664" w:hanging="360"/>
      </w:pPr>
    </w:lvl>
    <w:lvl w:ilvl="4" w:tplc="04150019" w:tentative="1">
      <w:start w:val="1"/>
      <w:numFmt w:val="lowerLetter"/>
      <w:lvlText w:val="%5."/>
      <w:lvlJc w:val="left"/>
      <w:pPr>
        <w:ind w:left="3384" w:hanging="360"/>
      </w:pPr>
    </w:lvl>
    <w:lvl w:ilvl="5" w:tplc="0415001B" w:tentative="1">
      <w:start w:val="1"/>
      <w:numFmt w:val="lowerRoman"/>
      <w:lvlText w:val="%6."/>
      <w:lvlJc w:val="right"/>
      <w:pPr>
        <w:ind w:left="4104" w:hanging="180"/>
      </w:pPr>
    </w:lvl>
    <w:lvl w:ilvl="6" w:tplc="0415000F" w:tentative="1">
      <w:start w:val="1"/>
      <w:numFmt w:val="decimal"/>
      <w:lvlText w:val="%7."/>
      <w:lvlJc w:val="left"/>
      <w:pPr>
        <w:ind w:left="4824" w:hanging="360"/>
      </w:pPr>
    </w:lvl>
    <w:lvl w:ilvl="7" w:tplc="04150019" w:tentative="1">
      <w:start w:val="1"/>
      <w:numFmt w:val="lowerLetter"/>
      <w:lvlText w:val="%8."/>
      <w:lvlJc w:val="left"/>
      <w:pPr>
        <w:ind w:left="5544" w:hanging="360"/>
      </w:pPr>
    </w:lvl>
    <w:lvl w:ilvl="8" w:tplc="0415001B" w:tentative="1">
      <w:start w:val="1"/>
      <w:numFmt w:val="lowerRoman"/>
      <w:lvlText w:val="%9."/>
      <w:lvlJc w:val="right"/>
      <w:pPr>
        <w:ind w:left="6264" w:hanging="180"/>
      </w:pPr>
    </w:lvl>
  </w:abstractNum>
  <w:abstractNum w:abstractNumId="7">
    <w:nsid w:val="56E42C11"/>
    <w:multiLevelType w:val="hybridMultilevel"/>
    <w:tmpl w:val="87F0797C"/>
    <w:lvl w:ilvl="0" w:tplc="04240001">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8">
    <w:nsid w:val="5DCC28EA"/>
    <w:multiLevelType w:val="hybridMultilevel"/>
    <w:tmpl w:val="1BC22A86"/>
    <w:lvl w:ilvl="0" w:tplc="E8165472">
      <w:start w:val="1"/>
      <w:numFmt w:val="decimal"/>
      <w:lvlText w:val="%1."/>
      <w:lvlJc w:val="left"/>
      <w:pPr>
        <w:ind w:left="504" w:hanging="360"/>
      </w:pPr>
      <w:rPr>
        <w:rFonts w:hint="default"/>
      </w:rPr>
    </w:lvl>
    <w:lvl w:ilvl="1" w:tplc="04240019" w:tentative="1">
      <w:start w:val="1"/>
      <w:numFmt w:val="lowerLetter"/>
      <w:lvlText w:val="%2."/>
      <w:lvlJc w:val="left"/>
      <w:pPr>
        <w:ind w:left="1224" w:hanging="360"/>
      </w:pPr>
    </w:lvl>
    <w:lvl w:ilvl="2" w:tplc="0424001B" w:tentative="1">
      <w:start w:val="1"/>
      <w:numFmt w:val="lowerRoman"/>
      <w:lvlText w:val="%3."/>
      <w:lvlJc w:val="right"/>
      <w:pPr>
        <w:ind w:left="1944" w:hanging="180"/>
      </w:pPr>
    </w:lvl>
    <w:lvl w:ilvl="3" w:tplc="0424000F" w:tentative="1">
      <w:start w:val="1"/>
      <w:numFmt w:val="decimal"/>
      <w:lvlText w:val="%4."/>
      <w:lvlJc w:val="left"/>
      <w:pPr>
        <w:ind w:left="2664" w:hanging="360"/>
      </w:pPr>
    </w:lvl>
    <w:lvl w:ilvl="4" w:tplc="04240019" w:tentative="1">
      <w:start w:val="1"/>
      <w:numFmt w:val="lowerLetter"/>
      <w:lvlText w:val="%5."/>
      <w:lvlJc w:val="left"/>
      <w:pPr>
        <w:ind w:left="3384" w:hanging="360"/>
      </w:pPr>
    </w:lvl>
    <w:lvl w:ilvl="5" w:tplc="0424001B" w:tentative="1">
      <w:start w:val="1"/>
      <w:numFmt w:val="lowerRoman"/>
      <w:lvlText w:val="%6."/>
      <w:lvlJc w:val="right"/>
      <w:pPr>
        <w:ind w:left="4104" w:hanging="180"/>
      </w:pPr>
    </w:lvl>
    <w:lvl w:ilvl="6" w:tplc="0424000F" w:tentative="1">
      <w:start w:val="1"/>
      <w:numFmt w:val="decimal"/>
      <w:lvlText w:val="%7."/>
      <w:lvlJc w:val="left"/>
      <w:pPr>
        <w:ind w:left="4824" w:hanging="360"/>
      </w:pPr>
    </w:lvl>
    <w:lvl w:ilvl="7" w:tplc="04240019" w:tentative="1">
      <w:start w:val="1"/>
      <w:numFmt w:val="lowerLetter"/>
      <w:lvlText w:val="%8."/>
      <w:lvlJc w:val="left"/>
      <w:pPr>
        <w:ind w:left="5544" w:hanging="360"/>
      </w:pPr>
    </w:lvl>
    <w:lvl w:ilvl="8" w:tplc="0424001B" w:tentative="1">
      <w:start w:val="1"/>
      <w:numFmt w:val="lowerRoman"/>
      <w:lvlText w:val="%9."/>
      <w:lvlJc w:val="right"/>
      <w:pPr>
        <w:ind w:left="6264" w:hanging="180"/>
      </w:pPr>
    </w:lvl>
  </w:abstractNum>
  <w:abstractNum w:abstractNumId="9">
    <w:nsid w:val="6A0F7CB3"/>
    <w:multiLevelType w:val="multilevel"/>
    <w:tmpl w:val="08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6B3C36F3"/>
    <w:multiLevelType w:val="hybridMultilevel"/>
    <w:tmpl w:val="94ECC9FC"/>
    <w:lvl w:ilvl="0" w:tplc="E6305B9A">
      <w:start w:val="1"/>
      <w:numFmt w:val="lowerLetter"/>
      <w:lvlText w:val="%1)"/>
      <w:lvlJc w:val="left"/>
      <w:pPr>
        <w:ind w:left="1429" w:hanging="72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num w:numId="1">
    <w:abstractNumId w:val="6"/>
  </w:num>
  <w:num w:numId="2">
    <w:abstractNumId w:val="2"/>
  </w:num>
  <w:num w:numId="3">
    <w:abstractNumId w:val="0"/>
  </w:num>
  <w:num w:numId="4">
    <w:abstractNumId w:val="1"/>
  </w:num>
  <w:num w:numId="5">
    <w:abstractNumId w:val="9"/>
  </w:num>
  <w:num w:numId="6">
    <w:abstractNumId w:val="8"/>
  </w:num>
  <w:num w:numId="7">
    <w:abstractNumId w:val="3"/>
  </w:num>
  <w:num w:numId="8">
    <w:abstractNumId w:val="4"/>
  </w:num>
  <w:num w:numId="9">
    <w:abstractNumId w:val="1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attachedTemplate r:id="rId1"/>
  <w:defaultTabStop w:val="709"/>
  <w:hyphenationZone w:val="4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519"/>
    <w:rsid w:val="00000002"/>
    <w:rsid w:val="0001240F"/>
    <w:rsid w:val="00024284"/>
    <w:rsid w:val="0002567B"/>
    <w:rsid w:val="00027719"/>
    <w:rsid w:val="00037C0D"/>
    <w:rsid w:val="00045275"/>
    <w:rsid w:val="00047822"/>
    <w:rsid w:val="00052423"/>
    <w:rsid w:val="00053821"/>
    <w:rsid w:val="00056566"/>
    <w:rsid w:val="000704C1"/>
    <w:rsid w:val="00074F34"/>
    <w:rsid w:val="0008003D"/>
    <w:rsid w:val="000928C5"/>
    <w:rsid w:val="00094F08"/>
    <w:rsid w:val="000956A4"/>
    <w:rsid w:val="000A4F75"/>
    <w:rsid w:val="000B53C7"/>
    <w:rsid w:val="000C277A"/>
    <w:rsid w:val="000E1308"/>
    <w:rsid w:val="000E59EA"/>
    <w:rsid w:val="000E77F3"/>
    <w:rsid w:val="000F218B"/>
    <w:rsid w:val="000F4164"/>
    <w:rsid w:val="000F4B39"/>
    <w:rsid w:val="000F4B56"/>
    <w:rsid w:val="000F5FCC"/>
    <w:rsid w:val="000F668C"/>
    <w:rsid w:val="000F68FF"/>
    <w:rsid w:val="00101976"/>
    <w:rsid w:val="00110114"/>
    <w:rsid w:val="00120720"/>
    <w:rsid w:val="00126F7C"/>
    <w:rsid w:val="00132DB1"/>
    <w:rsid w:val="00141FFC"/>
    <w:rsid w:val="00164947"/>
    <w:rsid w:val="001655FA"/>
    <w:rsid w:val="00165DD8"/>
    <w:rsid w:val="00173679"/>
    <w:rsid w:val="001A0256"/>
    <w:rsid w:val="001A619F"/>
    <w:rsid w:val="001A67DD"/>
    <w:rsid w:val="001B3674"/>
    <w:rsid w:val="001B4F6E"/>
    <w:rsid w:val="001D7ACF"/>
    <w:rsid w:val="001E3DDD"/>
    <w:rsid w:val="001E7EAF"/>
    <w:rsid w:val="001F6D42"/>
    <w:rsid w:val="002063D2"/>
    <w:rsid w:val="00214691"/>
    <w:rsid w:val="002209F8"/>
    <w:rsid w:val="00222549"/>
    <w:rsid w:val="002263EB"/>
    <w:rsid w:val="002275DE"/>
    <w:rsid w:val="002406DE"/>
    <w:rsid w:val="0025331B"/>
    <w:rsid w:val="00253A2E"/>
    <w:rsid w:val="002623AB"/>
    <w:rsid w:val="00262927"/>
    <w:rsid w:val="0026424E"/>
    <w:rsid w:val="002705B0"/>
    <w:rsid w:val="00275621"/>
    <w:rsid w:val="00276BC7"/>
    <w:rsid w:val="002844F5"/>
    <w:rsid w:val="0028474A"/>
    <w:rsid w:val="00286A1C"/>
    <w:rsid w:val="002930CA"/>
    <w:rsid w:val="00293A60"/>
    <w:rsid w:val="002A3747"/>
    <w:rsid w:val="002B203A"/>
    <w:rsid w:val="002B3797"/>
    <w:rsid w:val="002B4349"/>
    <w:rsid w:val="002C689C"/>
    <w:rsid w:val="002D195C"/>
    <w:rsid w:val="002D22AE"/>
    <w:rsid w:val="002D7859"/>
    <w:rsid w:val="002E118F"/>
    <w:rsid w:val="002E3AF6"/>
    <w:rsid w:val="0030031D"/>
    <w:rsid w:val="00304C61"/>
    <w:rsid w:val="00305749"/>
    <w:rsid w:val="00306601"/>
    <w:rsid w:val="00312142"/>
    <w:rsid w:val="00314661"/>
    <w:rsid w:val="003250DD"/>
    <w:rsid w:val="003308ED"/>
    <w:rsid w:val="00332C8C"/>
    <w:rsid w:val="00333D9B"/>
    <w:rsid w:val="003350FD"/>
    <w:rsid w:val="00335D65"/>
    <w:rsid w:val="00346D08"/>
    <w:rsid w:val="00357BEC"/>
    <w:rsid w:val="0037379A"/>
    <w:rsid w:val="00381C97"/>
    <w:rsid w:val="00386717"/>
    <w:rsid w:val="00386F24"/>
    <w:rsid w:val="00395131"/>
    <w:rsid w:val="003A1760"/>
    <w:rsid w:val="003A31D0"/>
    <w:rsid w:val="003B0B37"/>
    <w:rsid w:val="003B3C66"/>
    <w:rsid w:val="003B79E6"/>
    <w:rsid w:val="003C0F63"/>
    <w:rsid w:val="003C4BDB"/>
    <w:rsid w:val="003C62E7"/>
    <w:rsid w:val="003C7F8F"/>
    <w:rsid w:val="003D6DF4"/>
    <w:rsid w:val="003E4343"/>
    <w:rsid w:val="00404C7B"/>
    <w:rsid w:val="004237B8"/>
    <w:rsid w:val="00426E6A"/>
    <w:rsid w:val="00437686"/>
    <w:rsid w:val="0046166F"/>
    <w:rsid w:val="004731D9"/>
    <w:rsid w:val="00480FD0"/>
    <w:rsid w:val="0048672A"/>
    <w:rsid w:val="00490ADC"/>
    <w:rsid w:val="00491014"/>
    <w:rsid w:val="004914A6"/>
    <w:rsid w:val="004A0DD0"/>
    <w:rsid w:val="004B33EF"/>
    <w:rsid w:val="004C4411"/>
    <w:rsid w:val="004C72A0"/>
    <w:rsid w:val="004D412B"/>
    <w:rsid w:val="004E3172"/>
    <w:rsid w:val="004E5E87"/>
    <w:rsid w:val="004F745D"/>
    <w:rsid w:val="005073E2"/>
    <w:rsid w:val="00507B7E"/>
    <w:rsid w:val="005254F9"/>
    <w:rsid w:val="00526E4E"/>
    <w:rsid w:val="0053167E"/>
    <w:rsid w:val="00534CF8"/>
    <w:rsid w:val="00541439"/>
    <w:rsid w:val="0054317B"/>
    <w:rsid w:val="00543E05"/>
    <w:rsid w:val="005525DE"/>
    <w:rsid w:val="00554F89"/>
    <w:rsid w:val="00555D21"/>
    <w:rsid w:val="00560836"/>
    <w:rsid w:val="00564D03"/>
    <w:rsid w:val="005674F2"/>
    <w:rsid w:val="00573B6B"/>
    <w:rsid w:val="00577A01"/>
    <w:rsid w:val="005879F1"/>
    <w:rsid w:val="00591F39"/>
    <w:rsid w:val="00592AEA"/>
    <w:rsid w:val="005974E6"/>
    <w:rsid w:val="005A0F2E"/>
    <w:rsid w:val="005A1289"/>
    <w:rsid w:val="005A192D"/>
    <w:rsid w:val="005A1DCA"/>
    <w:rsid w:val="005B4046"/>
    <w:rsid w:val="005B4F6B"/>
    <w:rsid w:val="005C0946"/>
    <w:rsid w:val="005D7426"/>
    <w:rsid w:val="005E4A65"/>
    <w:rsid w:val="005E642C"/>
    <w:rsid w:val="005E7184"/>
    <w:rsid w:val="00601DCA"/>
    <w:rsid w:val="006023C7"/>
    <w:rsid w:val="006072F1"/>
    <w:rsid w:val="00612CDE"/>
    <w:rsid w:val="00615F0A"/>
    <w:rsid w:val="00625F3D"/>
    <w:rsid w:val="00627D59"/>
    <w:rsid w:val="00630D05"/>
    <w:rsid w:val="00640650"/>
    <w:rsid w:val="00641450"/>
    <w:rsid w:val="00646A41"/>
    <w:rsid w:val="006518C1"/>
    <w:rsid w:val="006553D8"/>
    <w:rsid w:val="00664B30"/>
    <w:rsid w:val="00665EA8"/>
    <w:rsid w:val="00671FA4"/>
    <w:rsid w:val="00675CB7"/>
    <w:rsid w:val="006968F1"/>
    <w:rsid w:val="006A14D5"/>
    <w:rsid w:val="006A344E"/>
    <w:rsid w:val="006A43E8"/>
    <w:rsid w:val="006A5DA3"/>
    <w:rsid w:val="006A6C1F"/>
    <w:rsid w:val="006B1DCE"/>
    <w:rsid w:val="006B29A2"/>
    <w:rsid w:val="006B7FD1"/>
    <w:rsid w:val="006C2A39"/>
    <w:rsid w:val="006E6D74"/>
    <w:rsid w:val="007001BD"/>
    <w:rsid w:val="007075E9"/>
    <w:rsid w:val="00707DE3"/>
    <w:rsid w:val="007212A4"/>
    <w:rsid w:val="00723974"/>
    <w:rsid w:val="00725EB1"/>
    <w:rsid w:val="007367AC"/>
    <w:rsid w:val="007458A5"/>
    <w:rsid w:val="0074796E"/>
    <w:rsid w:val="00747EC2"/>
    <w:rsid w:val="00753002"/>
    <w:rsid w:val="00760741"/>
    <w:rsid w:val="00762568"/>
    <w:rsid w:val="0076333C"/>
    <w:rsid w:val="00764971"/>
    <w:rsid w:val="00766CAB"/>
    <w:rsid w:val="00770B2B"/>
    <w:rsid w:val="007776CC"/>
    <w:rsid w:val="00782702"/>
    <w:rsid w:val="007850D1"/>
    <w:rsid w:val="00786713"/>
    <w:rsid w:val="00786A7D"/>
    <w:rsid w:val="007925EF"/>
    <w:rsid w:val="007964CD"/>
    <w:rsid w:val="007A7529"/>
    <w:rsid w:val="007B076B"/>
    <w:rsid w:val="007B124F"/>
    <w:rsid w:val="007C1FA3"/>
    <w:rsid w:val="007C3DB6"/>
    <w:rsid w:val="007C7632"/>
    <w:rsid w:val="007E1494"/>
    <w:rsid w:val="007E6A94"/>
    <w:rsid w:val="007F06F5"/>
    <w:rsid w:val="007F7E46"/>
    <w:rsid w:val="00801B5F"/>
    <w:rsid w:val="008210DE"/>
    <w:rsid w:val="0085618F"/>
    <w:rsid w:val="008656EB"/>
    <w:rsid w:val="00870556"/>
    <w:rsid w:val="008776BF"/>
    <w:rsid w:val="00885319"/>
    <w:rsid w:val="00886E3F"/>
    <w:rsid w:val="00887B4E"/>
    <w:rsid w:val="00891A61"/>
    <w:rsid w:val="008A204E"/>
    <w:rsid w:val="008B68D2"/>
    <w:rsid w:val="008D290D"/>
    <w:rsid w:val="008D5676"/>
    <w:rsid w:val="008F2100"/>
    <w:rsid w:val="008F29BF"/>
    <w:rsid w:val="00900941"/>
    <w:rsid w:val="009100B1"/>
    <w:rsid w:val="009102DD"/>
    <w:rsid w:val="00913186"/>
    <w:rsid w:val="0091399F"/>
    <w:rsid w:val="00917DFD"/>
    <w:rsid w:val="0092476D"/>
    <w:rsid w:val="00930AD7"/>
    <w:rsid w:val="00947E77"/>
    <w:rsid w:val="00947F68"/>
    <w:rsid w:val="00955D9F"/>
    <w:rsid w:val="00962625"/>
    <w:rsid w:val="00972266"/>
    <w:rsid w:val="00972887"/>
    <w:rsid w:val="00974A79"/>
    <w:rsid w:val="0097646C"/>
    <w:rsid w:val="00982D21"/>
    <w:rsid w:val="009840DD"/>
    <w:rsid w:val="009945EC"/>
    <w:rsid w:val="009D1947"/>
    <w:rsid w:val="009D28B2"/>
    <w:rsid w:val="009F1230"/>
    <w:rsid w:val="009F3851"/>
    <w:rsid w:val="00A02514"/>
    <w:rsid w:val="00A03E9A"/>
    <w:rsid w:val="00A070E6"/>
    <w:rsid w:val="00A10451"/>
    <w:rsid w:val="00A13E90"/>
    <w:rsid w:val="00A22320"/>
    <w:rsid w:val="00A22A36"/>
    <w:rsid w:val="00A3645C"/>
    <w:rsid w:val="00A508AF"/>
    <w:rsid w:val="00A6021B"/>
    <w:rsid w:val="00A614D6"/>
    <w:rsid w:val="00A617AB"/>
    <w:rsid w:val="00A61C8F"/>
    <w:rsid w:val="00A62282"/>
    <w:rsid w:val="00A62F72"/>
    <w:rsid w:val="00A64884"/>
    <w:rsid w:val="00A75D63"/>
    <w:rsid w:val="00A81CBC"/>
    <w:rsid w:val="00A906AC"/>
    <w:rsid w:val="00A95188"/>
    <w:rsid w:val="00AA58D3"/>
    <w:rsid w:val="00AC0632"/>
    <w:rsid w:val="00AC1F3A"/>
    <w:rsid w:val="00AD4C38"/>
    <w:rsid w:val="00AD4E6A"/>
    <w:rsid w:val="00AD6C58"/>
    <w:rsid w:val="00AD7B0E"/>
    <w:rsid w:val="00AE5A30"/>
    <w:rsid w:val="00AF378D"/>
    <w:rsid w:val="00AF3C26"/>
    <w:rsid w:val="00AF4F54"/>
    <w:rsid w:val="00AF55A2"/>
    <w:rsid w:val="00AF696C"/>
    <w:rsid w:val="00AF6CA0"/>
    <w:rsid w:val="00B00973"/>
    <w:rsid w:val="00B03345"/>
    <w:rsid w:val="00B0472F"/>
    <w:rsid w:val="00B076F9"/>
    <w:rsid w:val="00B11814"/>
    <w:rsid w:val="00B1270B"/>
    <w:rsid w:val="00B218BF"/>
    <w:rsid w:val="00B26442"/>
    <w:rsid w:val="00B302EC"/>
    <w:rsid w:val="00B327DD"/>
    <w:rsid w:val="00B44CAD"/>
    <w:rsid w:val="00B54914"/>
    <w:rsid w:val="00B55384"/>
    <w:rsid w:val="00B56EC5"/>
    <w:rsid w:val="00B62C51"/>
    <w:rsid w:val="00B6560D"/>
    <w:rsid w:val="00B80E60"/>
    <w:rsid w:val="00B832AF"/>
    <w:rsid w:val="00B84550"/>
    <w:rsid w:val="00B93726"/>
    <w:rsid w:val="00BA4B49"/>
    <w:rsid w:val="00BA571F"/>
    <w:rsid w:val="00BC38C8"/>
    <w:rsid w:val="00BC46CB"/>
    <w:rsid w:val="00BC51EF"/>
    <w:rsid w:val="00BC5519"/>
    <w:rsid w:val="00BC74F7"/>
    <w:rsid w:val="00BE4326"/>
    <w:rsid w:val="00BF67C6"/>
    <w:rsid w:val="00C06C0D"/>
    <w:rsid w:val="00C22790"/>
    <w:rsid w:val="00C31FDA"/>
    <w:rsid w:val="00C4099D"/>
    <w:rsid w:val="00C44F97"/>
    <w:rsid w:val="00C50E9E"/>
    <w:rsid w:val="00C602AC"/>
    <w:rsid w:val="00C677BA"/>
    <w:rsid w:val="00C721D2"/>
    <w:rsid w:val="00C72553"/>
    <w:rsid w:val="00C74A94"/>
    <w:rsid w:val="00C756C1"/>
    <w:rsid w:val="00C844E7"/>
    <w:rsid w:val="00C92114"/>
    <w:rsid w:val="00CA33D3"/>
    <w:rsid w:val="00CA5EFF"/>
    <w:rsid w:val="00CA650C"/>
    <w:rsid w:val="00CC0A85"/>
    <w:rsid w:val="00CD2542"/>
    <w:rsid w:val="00CE1EC4"/>
    <w:rsid w:val="00CE4858"/>
    <w:rsid w:val="00CF05DD"/>
    <w:rsid w:val="00CF1AB1"/>
    <w:rsid w:val="00CF1DD9"/>
    <w:rsid w:val="00CF2F41"/>
    <w:rsid w:val="00D04BDA"/>
    <w:rsid w:val="00D16447"/>
    <w:rsid w:val="00D2401C"/>
    <w:rsid w:val="00D30083"/>
    <w:rsid w:val="00D31C8B"/>
    <w:rsid w:val="00D40EE5"/>
    <w:rsid w:val="00D41502"/>
    <w:rsid w:val="00D42D1D"/>
    <w:rsid w:val="00D45345"/>
    <w:rsid w:val="00D5510F"/>
    <w:rsid w:val="00D56FBB"/>
    <w:rsid w:val="00D60DC3"/>
    <w:rsid w:val="00D74FD1"/>
    <w:rsid w:val="00D86B18"/>
    <w:rsid w:val="00D871CA"/>
    <w:rsid w:val="00D92DBF"/>
    <w:rsid w:val="00D97C4A"/>
    <w:rsid w:val="00DA021B"/>
    <w:rsid w:val="00DA1530"/>
    <w:rsid w:val="00DA3911"/>
    <w:rsid w:val="00DA4BB0"/>
    <w:rsid w:val="00DB00D9"/>
    <w:rsid w:val="00DB6286"/>
    <w:rsid w:val="00DC1270"/>
    <w:rsid w:val="00DD0127"/>
    <w:rsid w:val="00DD1324"/>
    <w:rsid w:val="00DD2AEB"/>
    <w:rsid w:val="00DD54BD"/>
    <w:rsid w:val="00DD55AB"/>
    <w:rsid w:val="00DD675B"/>
    <w:rsid w:val="00DE34B7"/>
    <w:rsid w:val="00DE4F66"/>
    <w:rsid w:val="00DE7FB6"/>
    <w:rsid w:val="00DF41DA"/>
    <w:rsid w:val="00DF5460"/>
    <w:rsid w:val="00DF569A"/>
    <w:rsid w:val="00E00F57"/>
    <w:rsid w:val="00E01B7E"/>
    <w:rsid w:val="00E03578"/>
    <w:rsid w:val="00E15411"/>
    <w:rsid w:val="00E22B1E"/>
    <w:rsid w:val="00E23A5A"/>
    <w:rsid w:val="00E2491B"/>
    <w:rsid w:val="00E25CC1"/>
    <w:rsid w:val="00E266E9"/>
    <w:rsid w:val="00E458FA"/>
    <w:rsid w:val="00E516EA"/>
    <w:rsid w:val="00E54927"/>
    <w:rsid w:val="00E56A55"/>
    <w:rsid w:val="00E5770F"/>
    <w:rsid w:val="00E62A64"/>
    <w:rsid w:val="00E72BFF"/>
    <w:rsid w:val="00E8064B"/>
    <w:rsid w:val="00E80C35"/>
    <w:rsid w:val="00E86083"/>
    <w:rsid w:val="00E8762F"/>
    <w:rsid w:val="00E9519D"/>
    <w:rsid w:val="00EA289D"/>
    <w:rsid w:val="00EB6C15"/>
    <w:rsid w:val="00ED3EDF"/>
    <w:rsid w:val="00ED6F07"/>
    <w:rsid w:val="00ED7405"/>
    <w:rsid w:val="00EE4391"/>
    <w:rsid w:val="00EE6C30"/>
    <w:rsid w:val="00F149CA"/>
    <w:rsid w:val="00F15A9E"/>
    <w:rsid w:val="00F20E3E"/>
    <w:rsid w:val="00F22564"/>
    <w:rsid w:val="00F22988"/>
    <w:rsid w:val="00F30058"/>
    <w:rsid w:val="00F44969"/>
    <w:rsid w:val="00F47117"/>
    <w:rsid w:val="00F52560"/>
    <w:rsid w:val="00F60CD1"/>
    <w:rsid w:val="00F62EF3"/>
    <w:rsid w:val="00F67490"/>
    <w:rsid w:val="00F67A78"/>
    <w:rsid w:val="00F81FDF"/>
    <w:rsid w:val="00F83AB7"/>
    <w:rsid w:val="00F858A8"/>
    <w:rsid w:val="00F907FF"/>
    <w:rsid w:val="00F94429"/>
    <w:rsid w:val="00F95008"/>
    <w:rsid w:val="00F97D3D"/>
    <w:rsid w:val="00F97F7A"/>
    <w:rsid w:val="00FA2EBE"/>
    <w:rsid w:val="00FA5C91"/>
    <w:rsid w:val="00FB3AD3"/>
    <w:rsid w:val="00FB52B3"/>
    <w:rsid w:val="00FC355A"/>
    <w:rsid w:val="00FC3994"/>
    <w:rsid w:val="00FC6D6C"/>
    <w:rsid w:val="00FD5408"/>
    <w:rsid w:val="00FE44AB"/>
    <w:rsid w:val="00FE468D"/>
    <w:rsid w:val="00FE7F01"/>
    <w:rsid w:val="00FF4036"/>
    <w:rsid w:val="00FF5F02"/>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595959" w:themeColor="text1" w:themeTint="A6"/>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1" w:unhideWhenUsed="0" w:qFormat="1"/>
    <w:lsdException w:name="Emphasis" w:semiHidden="0" w:uiPriority="20" w:unhideWhenUsed="0" w:qFormat="1"/>
    <w:lsdException w:name="HTML Address"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FB6"/>
    <w:rPr>
      <w:kern w:val="2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gwek1">
    <w:name w:val="nagłówek 1"/>
    <w:basedOn w:val="Normal"/>
    <w:next w:val="Normal"/>
    <w:link w:val="Nagwek1znak"/>
    <w:uiPriority w:val="9"/>
    <w:qFormat/>
    <w:pPr>
      <w:keepNext/>
      <w:keepLines/>
      <w:pBdr>
        <w:top w:val="single" w:sz="4" w:space="4" w:color="7E97AD" w:themeColor="accent1"/>
        <w:left w:val="single" w:sz="4" w:space="6" w:color="7E97AD" w:themeColor="accent1"/>
        <w:bottom w:val="single" w:sz="4" w:space="4" w:color="7E97AD" w:themeColor="accent1"/>
        <w:right w:val="single" w:sz="4" w:space="6" w:color="7E97AD" w:themeColor="accent1"/>
      </w:pBdr>
      <w:shd w:val="clear" w:color="auto" w:fill="7E97AD" w:themeFill="accent1"/>
      <w:spacing w:before="360" w:after="240"/>
      <w:ind w:left="144" w:right="144"/>
      <w:outlineLvl w:val="0"/>
    </w:pPr>
    <w:rPr>
      <w:rFonts w:asciiTheme="majorHAnsi" w:eastAsiaTheme="majorEastAsia" w:hAnsiTheme="majorHAnsi" w:cstheme="majorBidi"/>
      <w:caps/>
      <w:color w:val="FFFFFF" w:themeColor="background1"/>
      <w:sz w:val="22"/>
      <w:szCs w:val="22"/>
    </w:rPr>
  </w:style>
  <w:style w:type="paragraph" w:customStyle="1" w:styleId="nagwek">
    <w:name w:val="nagłówek"/>
    <w:basedOn w:val="Normal"/>
    <w:link w:val="Nagwekznak"/>
    <w:uiPriority w:val="99"/>
    <w:unhideWhenUsed/>
    <w:pPr>
      <w:tabs>
        <w:tab w:val="center" w:pos="4680"/>
        <w:tab w:val="right" w:pos="9360"/>
      </w:tabs>
      <w:jc w:val="right"/>
    </w:pPr>
  </w:style>
  <w:style w:type="character" w:customStyle="1" w:styleId="Nagwekznak">
    <w:name w:val="Nagłówek (znak)"/>
    <w:basedOn w:val="DefaultParagraphFont"/>
    <w:link w:val="nagwek"/>
    <w:uiPriority w:val="99"/>
    <w:rPr>
      <w:kern w:val="20"/>
    </w:rPr>
  </w:style>
  <w:style w:type="paragraph" w:customStyle="1" w:styleId="stopka">
    <w:name w:val="stopka"/>
    <w:basedOn w:val="Normal"/>
    <w:link w:val="Stopkaznak"/>
    <w:uiPriority w:val="99"/>
    <w:unhideWhenUsed/>
    <w:pPr>
      <w:pBdr>
        <w:top w:val="single" w:sz="4" w:space="6" w:color="B1C0CD" w:themeColor="accent1" w:themeTint="99"/>
        <w:left w:val="single" w:sz="2" w:space="4" w:color="FFFFFF" w:themeColor="background1"/>
      </w:pBdr>
      <w:ind w:right="101"/>
    </w:pPr>
  </w:style>
  <w:style w:type="character" w:customStyle="1" w:styleId="Stopkaznak">
    <w:name w:val="Stopka (znak)"/>
    <w:basedOn w:val="DefaultParagraphFont"/>
    <w:link w:val="stopka"/>
    <w:uiPriority w:val="99"/>
    <w:rPr>
      <w:kern w:val="20"/>
    </w:rPr>
  </w:style>
  <w:style w:type="paragraph" w:styleId="NoSpacing">
    <w:name w:val="No Spacing"/>
    <w:link w:val="NoSpacingChar"/>
    <w:uiPriority w:val="1"/>
    <w:qFormat/>
  </w:style>
  <w:style w:type="character" w:styleId="Strong">
    <w:name w:val="Strong"/>
    <w:basedOn w:val="DefaultParagraphFont"/>
    <w:uiPriority w:val="1"/>
    <w:unhideWhenUsed/>
    <w:qFormat/>
    <w:rPr>
      <w:b/>
      <w:bCs/>
    </w:rPr>
  </w:style>
  <w:style w:type="character" w:customStyle="1" w:styleId="NoSpacingChar">
    <w:name w:val="No Spacing Char"/>
    <w:basedOn w:val="DefaultParagraphFont"/>
    <w:link w:val="NoSpacing"/>
    <w:uiPriority w:val="1"/>
  </w:style>
  <w:style w:type="table" w:customStyle="1" w:styleId="TabelaSiatka">
    <w:name w:val="Tabela — Siatka"/>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pPr>
      <w:spacing w:before="480" w:after="160"/>
    </w:pPr>
    <w:rPr>
      <w:rFonts w:asciiTheme="majorHAnsi" w:eastAsiaTheme="majorEastAsia" w:hAnsiTheme="majorHAnsi" w:cstheme="majorBidi"/>
      <w:caps/>
      <w:color w:val="7E97AD" w:themeColor="accent1"/>
      <w:kern w:val="28"/>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caps/>
      <w:color w:val="7E97AD" w:themeColor="accent1"/>
      <w:kern w:val="28"/>
      <w:sz w:val="48"/>
      <w:szCs w:val="48"/>
    </w:rPr>
  </w:style>
  <w:style w:type="character" w:styleId="PlaceholderText">
    <w:name w:val="Placeholder Text"/>
    <w:basedOn w:val="DefaultParagraphFont"/>
    <w:uiPriority w:val="99"/>
    <w:semiHidden/>
    <w:rPr>
      <w:color w:val="808080"/>
    </w:rPr>
  </w:style>
  <w:style w:type="paragraph" w:customStyle="1" w:styleId="Zamknicie">
    <w:name w:val="Zamknięcie"/>
    <w:basedOn w:val="Normal"/>
    <w:link w:val="Zamknicieznak"/>
    <w:uiPriority w:val="99"/>
    <w:unhideWhenUsed/>
    <w:pPr>
      <w:spacing w:before="600" w:after="80"/>
    </w:pPr>
  </w:style>
  <w:style w:type="character" w:customStyle="1" w:styleId="Zamknicieznak">
    <w:name w:val="Zamknięcie (znak)"/>
    <w:basedOn w:val="DefaultParagraphFont"/>
    <w:link w:val="Zamknicie"/>
    <w:uiPriority w:val="99"/>
    <w:rPr>
      <w:kern w:val="20"/>
    </w:rPr>
  </w:style>
  <w:style w:type="table" w:customStyle="1" w:styleId="Tabelaraportuostanie">
    <w:name w:val="Tabela raportu o stanie"/>
    <w:basedOn w:val="TableNormal"/>
    <w:uiPriority w:val="99"/>
    <w:tblPr>
      <w:tblBorders>
        <w:insideH w:val="single" w:sz="4" w:space="0" w:color="BFBFBF" w:themeColor="background1" w:themeShade="BF"/>
      </w:tblBorders>
    </w:tblPr>
    <w:tblStylePr w:type="firstRow">
      <w:rPr>
        <w:rFonts w:asciiTheme="majorHAnsi" w:hAnsiTheme="majorHAnsi"/>
        <w:caps/>
        <w:smallCaps w:val="0"/>
        <w:color w:val="577188" w:themeColor="accent1" w:themeShade="BF"/>
      </w:rPr>
      <w:tblPr/>
      <w:tcPr>
        <w:vAlign w:val="bottom"/>
      </w:tcPr>
    </w:tblStylePr>
  </w:style>
  <w:style w:type="character" w:customStyle="1" w:styleId="Nagwek1znak">
    <w:name w:val="Nagłówek 1 (znak)"/>
    <w:basedOn w:val="DefaultParagraphFont"/>
    <w:link w:val="nagwek1"/>
    <w:uiPriority w:val="9"/>
    <w:rPr>
      <w:rFonts w:asciiTheme="majorHAnsi" w:eastAsiaTheme="majorEastAsia" w:hAnsiTheme="majorHAnsi" w:cstheme="majorBidi"/>
      <w:caps/>
      <w:color w:val="FFFFFF" w:themeColor="background1"/>
      <w:kern w:val="20"/>
      <w:sz w:val="22"/>
      <w:szCs w:val="22"/>
      <w:shd w:val="clear" w:color="auto" w:fill="7E97AD" w:themeFill="accent1"/>
    </w:rPr>
  </w:style>
  <w:style w:type="paragraph" w:styleId="Header">
    <w:name w:val="header"/>
    <w:basedOn w:val="Normal"/>
    <w:link w:val="HeaderChar"/>
    <w:uiPriority w:val="99"/>
    <w:unhideWhenUsed/>
    <w:rsid w:val="00C844E7"/>
    <w:pPr>
      <w:tabs>
        <w:tab w:val="center" w:pos="4536"/>
        <w:tab w:val="right" w:pos="9072"/>
      </w:tabs>
    </w:pPr>
  </w:style>
  <w:style w:type="character" w:customStyle="1" w:styleId="HeaderChar">
    <w:name w:val="Header Char"/>
    <w:basedOn w:val="DefaultParagraphFont"/>
    <w:link w:val="Header"/>
    <w:uiPriority w:val="99"/>
    <w:rsid w:val="00C844E7"/>
    <w:rPr>
      <w:kern w:val="20"/>
    </w:rPr>
  </w:style>
  <w:style w:type="paragraph" w:styleId="Footer">
    <w:name w:val="footer"/>
    <w:basedOn w:val="Normal"/>
    <w:link w:val="FooterChar"/>
    <w:uiPriority w:val="99"/>
    <w:unhideWhenUsed/>
    <w:rsid w:val="00C844E7"/>
    <w:pPr>
      <w:tabs>
        <w:tab w:val="center" w:pos="4536"/>
        <w:tab w:val="right" w:pos="9072"/>
      </w:tabs>
    </w:pPr>
  </w:style>
  <w:style w:type="character" w:customStyle="1" w:styleId="FooterChar">
    <w:name w:val="Footer Char"/>
    <w:basedOn w:val="DefaultParagraphFont"/>
    <w:link w:val="Footer"/>
    <w:uiPriority w:val="99"/>
    <w:rsid w:val="00C844E7"/>
    <w:rPr>
      <w:kern w:val="20"/>
    </w:rPr>
  </w:style>
  <w:style w:type="character" w:styleId="CommentReference">
    <w:name w:val="annotation reference"/>
    <w:basedOn w:val="DefaultParagraphFont"/>
    <w:uiPriority w:val="99"/>
    <w:semiHidden/>
    <w:unhideWhenUsed/>
    <w:rsid w:val="000F4164"/>
    <w:rPr>
      <w:sz w:val="16"/>
      <w:szCs w:val="16"/>
    </w:rPr>
  </w:style>
  <w:style w:type="paragraph" w:styleId="CommentText">
    <w:name w:val="annotation text"/>
    <w:basedOn w:val="Normal"/>
    <w:link w:val="CommentTextChar"/>
    <w:uiPriority w:val="99"/>
    <w:semiHidden/>
    <w:unhideWhenUsed/>
    <w:rsid w:val="000F4164"/>
  </w:style>
  <w:style w:type="character" w:customStyle="1" w:styleId="CommentTextChar">
    <w:name w:val="Comment Text Char"/>
    <w:basedOn w:val="DefaultParagraphFont"/>
    <w:link w:val="CommentText"/>
    <w:uiPriority w:val="99"/>
    <w:semiHidden/>
    <w:rsid w:val="000F4164"/>
    <w:rPr>
      <w:kern w:val="20"/>
    </w:rPr>
  </w:style>
  <w:style w:type="paragraph" w:styleId="CommentSubject">
    <w:name w:val="annotation subject"/>
    <w:basedOn w:val="CommentText"/>
    <w:next w:val="CommentText"/>
    <w:link w:val="CommentSubjectChar"/>
    <w:uiPriority w:val="99"/>
    <w:semiHidden/>
    <w:unhideWhenUsed/>
    <w:rsid w:val="000F4164"/>
    <w:rPr>
      <w:b/>
      <w:bCs/>
    </w:rPr>
  </w:style>
  <w:style w:type="character" w:customStyle="1" w:styleId="CommentSubjectChar">
    <w:name w:val="Comment Subject Char"/>
    <w:basedOn w:val="CommentTextChar"/>
    <w:link w:val="CommentSubject"/>
    <w:uiPriority w:val="99"/>
    <w:semiHidden/>
    <w:rsid w:val="000F4164"/>
    <w:rPr>
      <w:b/>
      <w:bCs/>
      <w:kern w:val="20"/>
    </w:rPr>
  </w:style>
  <w:style w:type="paragraph" w:styleId="BalloonText">
    <w:name w:val="Balloon Text"/>
    <w:basedOn w:val="Normal"/>
    <w:link w:val="BalloonTextChar"/>
    <w:uiPriority w:val="99"/>
    <w:semiHidden/>
    <w:unhideWhenUsed/>
    <w:rsid w:val="000F41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164"/>
    <w:rPr>
      <w:rFonts w:ascii="Segoe UI" w:hAnsi="Segoe UI" w:cs="Segoe UI"/>
      <w:kern w:val="20"/>
      <w:sz w:val="18"/>
      <w:szCs w:val="18"/>
    </w:rPr>
  </w:style>
  <w:style w:type="paragraph" w:styleId="ListParagraph">
    <w:name w:val="List Paragraph"/>
    <w:basedOn w:val="Normal"/>
    <w:uiPriority w:val="34"/>
    <w:qFormat/>
    <w:rsid w:val="00534CF8"/>
    <w:pPr>
      <w:ind w:left="720"/>
      <w:contextualSpacing/>
    </w:pPr>
  </w:style>
  <w:style w:type="character" w:customStyle="1" w:styleId="tw4winMark">
    <w:name w:val="tw4winMark"/>
    <w:rsid w:val="00930AD7"/>
    <w:rPr>
      <w:vanish/>
      <w:color w:val="800080"/>
      <w:vertAlign w:val="subscript"/>
    </w:rPr>
  </w:style>
  <w:style w:type="character" w:customStyle="1" w:styleId="shorttext">
    <w:name w:val="short_text"/>
    <w:basedOn w:val="DefaultParagraphFont"/>
    <w:rsid w:val="00930AD7"/>
  </w:style>
  <w:style w:type="paragraph" w:customStyle="1" w:styleId="bodytext">
    <w:name w:val="bodytext"/>
    <w:basedOn w:val="Normal"/>
    <w:rsid w:val="00930AD7"/>
    <w:pPr>
      <w:spacing w:before="100" w:beforeAutospacing="1" w:after="100" w:afterAutospacing="1"/>
    </w:pPr>
    <w:rPr>
      <w:rFonts w:ascii="Times New Roman" w:eastAsia="Times New Roman" w:hAnsi="Times New Roman" w:cs="Times New Roman"/>
      <w:color w:val="auto"/>
      <w:kern w:val="0"/>
      <w:sz w:val="24"/>
      <w:szCs w:val="24"/>
      <w:lang w:eastAsia="sl-SI"/>
    </w:rPr>
  </w:style>
  <w:style w:type="numbering" w:customStyle="1" w:styleId="Style3">
    <w:name w:val="Style3"/>
    <w:uiPriority w:val="99"/>
    <w:rsid w:val="002930CA"/>
    <w:pPr>
      <w:numPr>
        <w:numId w:val="5"/>
      </w:numPr>
    </w:pPr>
  </w:style>
  <w:style w:type="character" w:styleId="Hyperlink">
    <w:name w:val="Hyperlink"/>
    <w:basedOn w:val="DefaultParagraphFont"/>
    <w:uiPriority w:val="99"/>
    <w:unhideWhenUsed/>
    <w:rsid w:val="006B1DCE"/>
    <w:rPr>
      <w:color w:val="646464"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595959" w:themeColor="text1" w:themeTint="A6"/>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1" w:unhideWhenUsed="0" w:qFormat="1"/>
    <w:lsdException w:name="Emphasis" w:semiHidden="0" w:uiPriority="20" w:unhideWhenUsed="0" w:qFormat="1"/>
    <w:lsdException w:name="HTML Address"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FB6"/>
    <w:rPr>
      <w:kern w:val="2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gwek1">
    <w:name w:val="nagłówek 1"/>
    <w:basedOn w:val="Normal"/>
    <w:next w:val="Normal"/>
    <w:link w:val="Nagwek1znak"/>
    <w:uiPriority w:val="9"/>
    <w:qFormat/>
    <w:pPr>
      <w:keepNext/>
      <w:keepLines/>
      <w:pBdr>
        <w:top w:val="single" w:sz="4" w:space="4" w:color="7E97AD" w:themeColor="accent1"/>
        <w:left w:val="single" w:sz="4" w:space="6" w:color="7E97AD" w:themeColor="accent1"/>
        <w:bottom w:val="single" w:sz="4" w:space="4" w:color="7E97AD" w:themeColor="accent1"/>
        <w:right w:val="single" w:sz="4" w:space="6" w:color="7E97AD" w:themeColor="accent1"/>
      </w:pBdr>
      <w:shd w:val="clear" w:color="auto" w:fill="7E97AD" w:themeFill="accent1"/>
      <w:spacing w:before="360" w:after="240"/>
      <w:ind w:left="144" w:right="144"/>
      <w:outlineLvl w:val="0"/>
    </w:pPr>
    <w:rPr>
      <w:rFonts w:asciiTheme="majorHAnsi" w:eastAsiaTheme="majorEastAsia" w:hAnsiTheme="majorHAnsi" w:cstheme="majorBidi"/>
      <w:caps/>
      <w:color w:val="FFFFFF" w:themeColor="background1"/>
      <w:sz w:val="22"/>
      <w:szCs w:val="22"/>
    </w:rPr>
  </w:style>
  <w:style w:type="paragraph" w:customStyle="1" w:styleId="nagwek">
    <w:name w:val="nagłówek"/>
    <w:basedOn w:val="Normal"/>
    <w:link w:val="Nagwekznak"/>
    <w:uiPriority w:val="99"/>
    <w:unhideWhenUsed/>
    <w:pPr>
      <w:tabs>
        <w:tab w:val="center" w:pos="4680"/>
        <w:tab w:val="right" w:pos="9360"/>
      </w:tabs>
      <w:jc w:val="right"/>
    </w:pPr>
  </w:style>
  <w:style w:type="character" w:customStyle="1" w:styleId="Nagwekznak">
    <w:name w:val="Nagłówek (znak)"/>
    <w:basedOn w:val="DefaultParagraphFont"/>
    <w:link w:val="nagwek"/>
    <w:uiPriority w:val="99"/>
    <w:rPr>
      <w:kern w:val="20"/>
    </w:rPr>
  </w:style>
  <w:style w:type="paragraph" w:customStyle="1" w:styleId="stopka">
    <w:name w:val="stopka"/>
    <w:basedOn w:val="Normal"/>
    <w:link w:val="Stopkaznak"/>
    <w:uiPriority w:val="99"/>
    <w:unhideWhenUsed/>
    <w:pPr>
      <w:pBdr>
        <w:top w:val="single" w:sz="4" w:space="6" w:color="B1C0CD" w:themeColor="accent1" w:themeTint="99"/>
        <w:left w:val="single" w:sz="2" w:space="4" w:color="FFFFFF" w:themeColor="background1"/>
      </w:pBdr>
      <w:ind w:right="101"/>
    </w:pPr>
  </w:style>
  <w:style w:type="character" w:customStyle="1" w:styleId="Stopkaznak">
    <w:name w:val="Stopka (znak)"/>
    <w:basedOn w:val="DefaultParagraphFont"/>
    <w:link w:val="stopka"/>
    <w:uiPriority w:val="99"/>
    <w:rPr>
      <w:kern w:val="20"/>
    </w:rPr>
  </w:style>
  <w:style w:type="paragraph" w:styleId="NoSpacing">
    <w:name w:val="No Spacing"/>
    <w:link w:val="NoSpacingChar"/>
    <w:uiPriority w:val="1"/>
    <w:qFormat/>
  </w:style>
  <w:style w:type="character" w:styleId="Strong">
    <w:name w:val="Strong"/>
    <w:basedOn w:val="DefaultParagraphFont"/>
    <w:uiPriority w:val="1"/>
    <w:unhideWhenUsed/>
    <w:qFormat/>
    <w:rPr>
      <w:b/>
      <w:bCs/>
    </w:rPr>
  </w:style>
  <w:style w:type="character" w:customStyle="1" w:styleId="NoSpacingChar">
    <w:name w:val="No Spacing Char"/>
    <w:basedOn w:val="DefaultParagraphFont"/>
    <w:link w:val="NoSpacing"/>
    <w:uiPriority w:val="1"/>
  </w:style>
  <w:style w:type="table" w:customStyle="1" w:styleId="TabelaSiatka">
    <w:name w:val="Tabela — Siatka"/>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pPr>
      <w:spacing w:before="480" w:after="160"/>
    </w:pPr>
    <w:rPr>
      <w:rFonts w:asciiTheme="majorHAnsi" w:eastAsiaTheme="majorEastAsia" w:hAnsiTheme="majorHAnsi" w:cstheme="majorBidi"/>
      <w:caps/>
      <w:color w:val="7E97AD" w:themeColor="accent1"/>
      <w:kern w:val="28"/>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caps/>
      <w:color w:val="7E97AD" w:themeColor="accent1"/>
      <w:kern w:val="28"/>
      <w:sz w:val="48"/>
      <w:szCs w:val="48"/>
    </w:rPr>
  </w:style>
  <w:style w:type="character" w:styleId="PlaceholderText">
    <w:name w:val="Placeholder Text"/>
    <w:basedOn w:val="DefaultParagraphFont"/>
    <w:uiPriority w:val="99"/>
    <w:semiHidden/>
    <w:rPr>
      <w:color w:val="808080"/>
    </w:rPr>
  </w:style>
  <w:style w:type="paragraph" w:customStyle="1" w:styleId="Zamknicie">
    <w:name w:val="Zamknięcie"/>
    <w:basedOn w:val="Normal"/>
    <w:link w:val="Zamknicieznak"/>
    <w:uiPriority w:val="99"/>
    <w:unhideWhenUsed/>
    <w:pPr>
      <w:spacing w:before="600" w:after="80"/>
    </w:pPr>
  </w:style>
  <w:style w:type="character" w:customStyle="1" w:styleId="Zamknicieznak">
    <w:name w:val="Zamknięcie (znak)"/>
    <w:basedOn w:val="DefaultParagraphFont"/>
    <w:link w:val="Zamknicie"/>
    <w:uiPriority w:val="99"/>
    <w:rPr>
      <w:kern w:val="20"/>
    </w:rPr>
  </w:style>
  <w:style w:type="table" w:customStyle="1" w:styleId="Tabelaraportuostanie">
    <w:name w:val="Tabela raportu o stanie"/>
    <w:basedOn w:val="TableNormal"/>
    <w:uiPriority w:val="99"/>
    <w:tblPr>
      <w:tblBorders>
        <w:insideH w:val="single" w:sz="4" w:space="0" w:color="BFBFBF" w:themeColor="background1" w:themeShade="BF"/>
      </w:tblBorders>
    </w:tblPr>
    <w:tblStylePr w:type="firstRow">
      <w:rPr>
        <w:rFonts w:asciiTheme="majorHAnsi" w:hAnsiTheme="majorHAnsi"/>
        <w:caps/>
        <w:smallCaps w:val="0"/>
        <w:color w:val="577188" w:themeColor="accent1" w:themeShade="BF"/>
      </w:rPr>
      <w:tblPr/>
      <w:tcPr>
        <w:vAlign w:val="bottom"/>
      </w:tcPr>
    </w:tblStylePr>
  </w:style>
  <w:style w:type="character" w:customStyle="1" w:styleId="Nagwek1znak">
    <w:name w:val="Nagłówek 1 (znak)"/>
    <w:basedOn w:val="DefaultParagraphFont"/>
    <w:link w:val="nagwek1"/>
    <w:uiPriority w:val="9"/>
    <w:rPr>
      <w:rFonts w:asciiTheme="majorHAnsi" w:eastAsiaTheme="majorEastAsia" w:hAnsiTheme="majorHAnsi" w:cstheme="majorBidi"/>
      <w:caps/>
      <w:color w:val="FFFFFF" w:themeColor="background1"/>
      <w:kern w:val="20"/>
      <w:sz w:val="22"/>
      <w:szCs w:val="22"/>
      <w:shd w:val="clear" w:color="auto" w:fill="7E97AD" w:themeFill="accent1"/>
    </w:rPr>
  </w:style>
  <w:style w:type="paragraph" w:styleId="Header">
    <w:name w:val="header"/>
    <w:basedOn w:val="Normal"/>
    <w:link w:val="HeaderChar"/>
    <w:uiPriority w:val="99"/>
    <w:unhideWhenUsed/>
    <w:rsid w:val="00C844E7"/>
    <w:pPr>
      <w:tabs>
        <w:tab w:val="center" w:pos="4536"/>
        <w:tab w:val="right" w:pos="9072"/>
      </w:tabs>
    </w:pPr>
  </w:style>
  <w:style w:type="character" w:customStyle="1" w:styleId="HeaderChar">
    <w:name w:val="Header Char"/>
    <w:basedOn w:val="DefaultParagraphFont"/>
    <w:link w:val="Header"/>
    <w:uiPriority w:val="99"/>
    <w:rsid w:val="00C844E7"/>
    <w:rPr>
      <w:kern w:val="20"/>
    </w:rPr>
  </w:style>
  <w:style w:type="paragraph" w:styleId="Footer">
    <w:name w:val="footer"/>
    <w:basedOn w:val="Normal"/>
    <w:link w:val="FooterChar"/>
    <w:uiPriority w:val="99"/>
    <w:unhideWhenUsed/>
    <w:rsid w:val="00C844E7"/>
    <w:pPr>
      <w:tabs>
        <w:tab w:val="center" w:pos="4536"/>
        <w:tab w:val="right" w:pos="9072"/>
      </w:tabs>
    </w:pPr>
  </w:style>
  <w:style w:type="character" w:customStyle="1" w:styleId="FooterChar">
    <w:name w:val="Footer Char"/>
    <w:basedOn w:val="DefaultParagraphFont"/>
    <w:link w:val="Footer"/>
    <w:uiPriority w:val="99"/>
    <w:rsid w:val="00C844E7"/>
    <w:rPr>
      <w:kern w:val="20"/>
    </w:rPr>
  </w:style>
  <w:style w:type="character" w:styleId="CommentReference">
    <w:name w:val="annotation reference"/>
    <w:basedOn w:val="DefaultParagraphFont"/>
    <w:uiPriority w:val="99"/>
    <w:semiHidden/>
    <w:unhideWhenUsed/>
    <w:rsid w:val="000F4164"/>
    <w:rPr>
      <w:sz w:val="16"/>
      <w:szCs w:val="16"/>
    </w:rPr>
  </w:style>
  <w:style w:type="paragraph" w:styleId="CommentText">
    <w:name w:val="annotation text"/>
    <w:basedOn w:val="Normal"/>
    <w:link w:val="CommentTextChar"/>
    <w:uiPriority w:val="99"/>
    <w:semiHidden/>
    <w:unhideWhenUsed/>
    <w:rsid w:val="000F4164"/>
  </w:style>
  <w:style w:type="character" w:customStyle="1" w:styleId="CommentTextChar">
    <w:name w:val="Comment Text Char"/>
    <w:basedOn w:val="DefaultParagraphFont"/>
    <w:link w:val="CommentText"/>
    <w:uiPriority w:val="99"/>
    <w:semiHidden/>
    <w:rsid w:val="000F4164"/>
    <w:rPr>
      <w:kern w:val="20"/>
    </w:rPr>
  </w:style>
  <w:style w:type="paragraph" w:styleId="CommentSubject">
    <w:name w:val="annotation subject"/>
    <w:basedOn w:val="CommentText"/>
    <w:next w:val="CommentText"/>
    <w:link w:val="CommentSubjectChar"/>
    <w:uiPriority w:val="99"/>
    <w:semiHidden/>
    <w:unhideWhenUsed/>
    <w:rsid w:val="000F4164"/>
    <w:rPr>
      <w:b/>
      <w:bCs/>
    </w:rPr>
  </w:style>
  <w:style w:type="character" w:customStyle="1" w:styleId="CommentSubjectChar">
    <w:name w:val="Comment Subject Char"/>
    <w:basedOn w:val="CommentTextChar"/>
    <w:link w:val="CommentSubject"/>
    <w:uiPriority w:val="99"/>
    <w:semiHidden/>
    <w:rsid w:val="000F4164"/>
    <w:rPr>
      <w:b/>
      <w:bCs/>
      <w:kern w:val="20"/>
    </w:rPr>
  </w:style>
  <w:style w:type="paragraph" w:styleId="BalloonText">
    <w:name w:val="Balloon Text"/>
    <w:basedOn w:val="Normal"/>
    <w:link w:val="BalloonTextChar"/>
    <w:uiPriority w:val="99"/>
    <w:semiHidden/>
    <w:unhideWhenUsed/>
    <w:rsid w:val="000F41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164"/>
    <w:rPr>
      <w:rFonts w:ascii="Segoe UI" w:hAnsi="Segoe UI" w:cs="Segoe UI"/>
      <w:kern w:val="20"/>
      <w:sz w:val="18"/>
      <w:szCs w:val="18"/>
    </w:rPr>
  </w:style>
  <w:style w:type="paragraph" w:styleId="ListParagraph">
    <w:name w:val="List Paragraph"/>
    <w:basedOn w:val="Normal"/>
    <w:uiPriority w:val="34"/>
    <w:qFormat/>
    <w:rsid w:val="00534CF8"/>
    <w:pPr>
      <w:ind w:left="720"/>
      <w:contextualSpacing/>
    </w:pPr>
  </w:style>
  <w:style w:type="character" w:customStyle="1" w:styleId="tw4winMark">
    <w:name w:val="tw4winMark"/>
    <w:rsid w:val="00930AD7"/>
    <w:rPr>
      <w:vanish/>
      <w:color w:val="800080"/>
      <w:vertAlign w:val="subscript"/>
    </w:rPr>
  </w:style>
  <w:style w:type="character" w:customStyle="1" w:styleId="shorttext">
    <w:name w:val="short_text"/>
    <w:basedOn w:val="DefaultParagraphFont"/>
    <w:rsid w:val="00930AD7"/>
  </w:style>
  <w:style w:type="paragraph" w:customStyle="1" w:styleId="bodytext">
    <w:name w:val="bodytext"/>
    <w:basedOn w:val="Normal"/>
    <w:rsid w:val="00930AD7"/>
    <w:pPr>
      <w:spacing w:before="100" w:beforeAutospacing="1" w:after="100" w:afterAutospacing="1"/>
    </w:pPr>
    <w:rPr>
      <w:rFonts w:ascii="Times New Roman" w:eastAsia="Times New Roman" w:hAnsi="Times New Roman" w:cs="Times New Roman"/>
      <w:color w:val="auto"/>
      <w:kern w:val="0"/>
      <w:sz w:val="24"/>
      <w:szCs w:val="24"/>
      <w:lang w:eastAsia="sl-SI"/>
    </w:rPr>
  </w:style>
  <w:style w:type="numbering" w:customStyle="1" w:styleId="Style3">
    <w:name w:val="Style3"/>
    <w:uiPriority w:val="99"/>
    <w:rsid w:val="002930CA"/>
    <w:pPr>
      <w:numPr>
        <w:numId w:val="5"/>
      </w:numPr>
    </w:pPr>
  </w:style>
  <w:style w:type="character" w:styleId="Hyperlink">
    <w:name w:val="Hyperlink"/>
    <w:basedOn w:val="DefaultParagraphFont"/>
    <w:uiPriority w:val="99"/>
    <w:unhideWhenUsed/>
    <w:rsid w:val="006B1DCE"/>
    <w:rPr>
      <w:color w:val="646464"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rhiv.acs.si/dokumenti/ReNPIO_2013%E2%80%932020.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acea.ec.europa.eu/education/eurydice/documents/facts_and_figures/education_structures_EN.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dlib.si/results/?&amp;query=%27rele%253dTeorija%2bin%2bpraksa%27"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lia\AppData\Roaming\Microsoft\Templates\Raport%20o%20stanie%20projektu.dotx" TargetMode="External"/></Relationships>
</file>

<file path=word/theme/theme1.xml><?xml version="1.0" encoding="utf-8"?>
<a:theme xmlns:a="http://schemas.openxmlformats.org/drawingml/2006/main" name="Business Set Blue">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FormTemplates xmlns="http://schemas.microsoft.com/sharepoint/v3/contenttype/forms">
  <Display>DocumentLibraryForm</Display>
  <Edit>AssetEditForm</Edit>
  <New>DocumentLibraryForm</New>
</FormTemplates>
</file>

<file path=customXml/item2.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1FBD1A1-449C-4EBE-BCFF-5A2F45398A1C}">
  <ds:schemaRefs>
    <ds:schemaRef ds:uri="http://schemas.microsoft.com/sharepoint/v3/contenttype/forms"/>
  </ds:schemaRefs>
</ds:datastoreItem>
</file>

<file path=customXml/itemProps2.xml><?xml version="1.0" encoding="utf-8"?>
<ds:datastoreItem xmlns:ds="http://schemas.openxmlformats.org/officeDocument/2006/customXml" ds:itemID="{47E18979-C756-43FD-9D2A-15203E6A502A}">
  <ds:schemaRefs>
    <ds:schemaRef ds:uri="http://schemas.microsoft.com/pics"/>
  </ds:schemaRefs>
</ds:datastoreItem>
</file>

<file path=customXml/itemProps3.xml><?xml version="1.0" encoding="utf-8"?>
<ds:datastoreItem xmlns:ds="http://schemas.openxmlformats.org/officeDocument/2006/customXml" ds:itemID="{0F6076ED-E665-4CC6-A05F-8BB8F3857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Raport o stanie projektu</Template>
  <TotalTime>0</TotalTime>
  <Pages>13</Pages>
  <Words>5837</Words>
  <Characters>33277</Characters>
  <Application>Microsoft Office Word</Application>
  <DocSecurity>0</DocSecurity>
  <Lines>277</Lines>
  <Paragraphs>78</Paragraphs>
  <ScaleCrop>false</ScaleCrop>
  <HeadingPairs>
    <vt:vector size="6" baseType="variant">
      <vt:variant>
        <vt:lpstr>Title</vt:lpstr>
      </vt:variant>
      <vt:variant>
        <vt:i4>1</vt:i4>
      </vt:variant>
      <vt:variant>
        <vt:lpstr>Naslov</vt:lpstr>
      </vt:variant>
      <vt:variant>
        <vt:i4>1</vt:i4>
      </vt:variant>
      <vt:variant>
        <vt:lpstr>Tytuł</vt:lpstr>
      </vt:variant>
      <vt:variant>
        <vt:i4>1</vt:i4>
      </vt:variant>
    </vt:vector>
  </HeadingPairs>
  <TitlesOfParts>
    <vt:vector size="3" baseType="lpstr">
      <vt:lpstr/>
      <vt:lpstr/>
      <vt:lpstr/>
    </vt:vector>
  </TitlesOfParts>
  <Company/>
  <LinksUpToDate>false</LinksUpToDate>
  <CharactersWithSpaces>39036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Rozalia</dc:creator>
  <cp:lastModifiedBy>marta</cp:lastModifiedBy>
  <cp:revision>2</cp:revision>
  <cp:lastPrinted>2018-07-17T07:30:00Z</cp:lastPrinted>
  <dcterms:created xsi:type="dcterms:W3CDTF">2018-11-25T12:58:00Z</dcterms:created>
  <dcterms:modified xsi:type="dcterms:W3CDTF">2018-11-25T12:58:00Z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TC027909449991</vt:lpwstr>
  </property>
</Properties>
</file>